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15FCD42D" w14:textId="77777777" w:rsidTr="00024417">
        <w:trPr>
          <w:jc w:val="center"/>
        </w:trPr>
        <w:tc>
          <w:tcPr>
            <w:tcW w:w="3383" w:type="dxa"/>
            <w:shd w:val="clear" w:color="auto" w:fill="auto"/>
            <w:tcMar>
              <w:top w:w="85" w:type="dxa"/>
              <w:left w:w="85" w:type="dxa"/>
              <w:bottom w:w="85" w:type="dxa"/>
              <w:right w:w="85" w:type="dxa"/>
            </w:tcMar>
            <w:vAlign w:val="center"/>
          </w:tcPr>
          <w:p w14:paraId="4197C120" w14:textId="77777777" w:rsidR="008C698A" w:rsidRPr="00024417" w:rsidRDefault="00024417" w:rsidP="00024417">
            <w:pPr>
              <w:spacing w:after="0" w:line="240" w:lineRule="auto"/>
              <w:jc w:val="center"/>
              <w:rPr>
                <w:rFonts w:ascii="Arial" w:hAnsi="Arial" w:cs="Arial"/>
                <w:b/>
                <w:sz w:val="40"/>
              </w:rPr>
            </w:pPr>
            <w:bookmarkStart w:id="0" w:name="_GoBack"/>
            <w:bookmarkEnd w:id="0"/>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75D8B74C"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1F6475AD" w14:textId="77777777" w:rsidR="00B22D4E" w:rsidRPr="00024417" w:rsidRDefault="00B22D4E">
      <w:pPr>
        <w:rPr>
          <w:rFonts w:ascii="Arial" w:hAnsi="Arial" w:cs="Arial"/>
        </w:rPr>
      </w:pPr>
    </w:p>
    <w:p w14:paraId="6C033195" w14:textId="1B0C7691" w:rsidR="00C308D2" w:rsidRPr="005537E2" w:rsidRDefault="00515DBF" w:rsidP="00C308D2">
      <w:pPr>
        <w:pStyle w:val="NoSpacing"/>
        <w:jc w:val="center"/>
        <w:rPr>
          <w:rFonts w:asciiTheme="minorHAnsi" w:hAnsiTheme="minorHAnsi" w:cstheme="minorHAnsi"/>
          <w:b/>
        </w:rPr>
      </w:pPr>
      <w:r>
        <w:rPr>
          <w:rFonts w:asciiTheme="minorHAnsi" w:hAnsiTheme="minorHAnsi" w:cstheme="minorHAnsi"/>
          <w:b/>
          <w:sz w:val="40"/>
        </w:rPr>
        <w:t>Annual</w:t>
      </w:r>
      <w:r w:rsidR="00A62CD9">
        <w:rPr>
          <w:rFonts w:asciiTheme="minorHAnsi" w:hAnsiTheme="minorHAnsi" w:cstheme="minorHAnsi"/>
          <w:b/>
          <w:sz w:val="40"/>
        </w:rPr>
        <w:t xml:space="preserve"> </w:t>
      </w:r>
      <w:r w:rsidR="00C308D2" w:rsidRPr="005537E2">
        <w:rPr>
          <w:rFonts w:asciiTheme="minorHAnsi" w:hAnsiTheme="minorHAnsi" w:cstheme="minorHAnsi"/>
          <w:b/>
          <w:sz w:val="40"/>
        </w:rPr>
        <w:t>Internal Audit Report</w:t>
      </w:r>
    </w:p>
    <w:p w14:paraId="519202C2" w14:textId="77777777" w:rsidR="00C308D2" w:rsidRPr="005537E2" w:rsidRDefault="00C308D2" w:rsidP="00C308D2">
      <w:pPr>
        <w:pStyle w:val="NoSpacing"/>
        <w:jc w:val="center"/>
        <w:rPr>
          <w:rFonts w:asciiTheme="minorHAnsi" w:hAnsiTheme="minorHAnsi" w:cstheme="minorHAnsi"/>
          <w:sz w:val="20"/>
        </w:rPr>
      </w:pPr>
      <w:r w:rsidRPr="005537E2">
        <w:rPr>
          <w:rFonts w:asciiTheme="minorHAnsi" w:hAnsiTheme="minorHAnsi" w:cstheme="minorHAnsi"/>
          <w:sz w:val="20"/>
        </w:rPr>
        <w:t xml:space="preserve">(to be read in conjunction with </w:t>
      </w:r>
      <w:r w:rsidR="007D4ABE" w:rsidRPr="005537E2">
        <w:rPr>
          <w:rFonts w:asciiTheme="minorHAnsi" w:hAnsiTheme="minorHAnsi" w:cstheme="minorHAnsi"/>
          <w:sz w:val="20"/>
        </w:rPr>
        <w:t>the Annual Internal Audit Report</w:t>
      </w:r>
      <w:r w:rsidRPr="005537E2">
        <w:rPr>
          <w:rFonts w:asciiTheme="minorHAnsi" w:hAnsiTheme="minorHAnsi" w:cstheme="minorHAnsi"/>
          <w:sz w:val="20"/>
        </w:rPr>
        <w:t xml:space="preserve"> </w:t>
      </w:r>
      <w:r w:rsidR="007D4ABE" w:rsidRPr="005537E2">
        <w:rPr>
          <w:rFonts w:asciiTheme="minorHAnsi" w:hAnsiTheme="minorHAnsi" w:cstheme="minorHAnsi"/>
          <w:sz w:val="20"/>
        </w:rPr>
        <w:t>in the</w:t>
      </w:r>
      <w:r w:rsidR="007D4ABE" w:rsidRPr="005537E2">
        <w:rPr>
          <w:rFonts w:asciiTheme="minorHAnsi" w:hAnsiTheme="minorHAnsi" w:cstheme="minorHAnsi"/>
          <w:sz w:val="20"/>
        </w:rPr>
        <w:br/>
      </w:r>
      <w:r w:rsidRPr="005537E2">
        <w:rPr>
          <w:rFonts w:asciiTheme="minorHAnsi" w:hAnsiTheme="minorHAnsi" w:cstheme="minorHAnsi"/>
          <w:sz w:val="20"/>
        </w:rPr>
        <w:t xml:space="preserve">Annual </w:t>
      </w:r>
      <w:r w:rsidR="007D4ABE" w:rsidRPr="005537E2">
        <w:rPr>
          <w:rFonts w:asciiTheme="minorHAnsi" w:hAnsiTheme="minorHAnsi" w:cstheme="minorHAnsi"/>
          <w:sz w:val="20"/>
        </w:rPr>
        <w:t xml:space="preserve">Governance and Accountability </w:t>
      </w:r>
      <w:r w:rsidRPr="005537E2">
        <w:rPr>
          <w:rFonts w:asciiTheme="minorHAnsi" w:hAnsiTheme="minorHAnsi" w:cstheme="minorHAnsi"/>
          <w:sz w:val="20"/>
        </w:rPr>
        <w:t>Return)</w:t>
      </w:r>
    </w:p>
    <w:p w14:paraId="6980C063" w14:textId="77777777" w:rsidR="00C308D2" w:rsidRPr="005537E2" w:rsidRDefault="00C308D2" w:rsidP="00C308D2">
      <w:pPr>
        <w:pStyle w:val="NoSpacing"/>
        <w:jc w:val="center"/>
        <w:rPr>
          <w:rFonts w:asciiTheme="minorHAnsi" w:hAnsiTheme="minorHAnsi" w:cstheme="minorHAnsi"/>
        </w:rPr>
      </w:pPr>
    </w:p>
    <w:p w14:paraId="0B619619" w14:textId="77777777" w:rsidR="00C308D2" w:rsidRPr="005537E2" w:rsidRDefault="00C308D2" w:rsidP="00C308D2">
      <w:pPr>
        <w:pStyle w:val="NoSpacing"/>
        <w:jc w:val="cente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1814"/>
        <w:gridCol w:w="2410"/>
        <w:gridCol w:w="2075"/>
      </w:tblGrid>
      <w:tr w:rsidR="00437B45" w:rsidRPr="005537E2" w14:paraId="128B723E" w14:textId="77777777" w:rsidTr="005E2C4A">
        <w:tc>
          <w:tcPr>
            <w:tcW w:w="2609" w:type="dxa"/>
            <w:shd w:val="clear" w:color="auto" w:fill="auto"/>
            <w:tcMar>
              <w:top w:w="85" w:type="dxa"/>
              <w:left w:w="85" w:type="dxa"/>
              <w:bottom w:w="85" w:type="dxa"/>
              <w:right w:w="85" w:type="dxa"/>
            </w:tcMar>
          </w:tcPr>
          <w:p w14:paraId="39C7E16C" w14:textId="77777777" w:rsidR="00437B45" w:rsidRPr="005537E2" w:rsidRDefault="00437B45" w:rsidP="00437B45">
            <w:pPr>
              <w:pStyle w:val="NoSpacing"/>
              <w:rPr>
                <w:rFonts w:asciiTheme="minorHAnsi" w:hAnsiTheme="minorHAnsi" w:cstheme="minorHAnsi"/>
              </w:rPr>
            </w:pPr>
            <w:r w:rsidRPr="005537E2">
              <w:rPr>
                <w:rFonts w:asciiTheme="minorHAnsi" w:hAnsiTheme="minorHAnsi" w:cstheme="minorHAnsi"/>
              </w:rPr>
              <w:t>Name of council:</w:t>
            </w:r>
          </w:p>
        </w:tc>
        <w:tc>
          <w:tcPr>
            <w:tcW w:w="6299" w:type="dxa"/>
            <w:gridSpan w:val="3"/>
            <w:shd w:val="clear" w:color="auto" w:fill="auto"/>
            <w:tcMar>
              <w:top w:w="85" w:type="dxa"/>
              <w:left w:w="85" w:type="dxa"/>
              <w:bottom w:w="85" w:type="dxa"/>
              <w:right w:w="85" w:type="dxa"/>
            </w:tcMar>
          </w:tcPr>
          <w:p w14:paraId="441FC9BF" w14:textId="2373BC10" w:rsidR="00437B45" w:rsidRPr="005537E2" w:rsidRDefault="005E2C4A" w:rsidP="00437B45">
            <w:pPr>
              <w:pStyle w:val="NoSpacing"/>
              <w:rPr>
                <w:rFonts w:asciiTheme="minorHAnsi" w:hAnsiTheme="minorHAnsi" w:cstheme="minorHAnsi"/>
              </w:rPr>
            </w:pPr>
            <w:r>
              <w:rPr>
                <w:rFonts w:asciiTheme="minorHAnsi" w:hAnsiTheme="minorHAnsi" w:cstheme="minorHAnsi"/>
              </w:rPr>
              <w:t>Northampton</w:t>
            </w:r>
            <w:r w:rsidR="00B73C36">
              <w:rPr>
                <w:rFonts w:asciiTheme="minorHAnsi" w:hAnsiTheme="minorHAnsi" w:cstheme="minorHAnsi"/>
              </w:rPr>
              <w:t xml:space="preserve"> Town Council</w:t>
            </w:r>
          </w:p>
        </w:tc>
      </w:tr>
      <w:tr w:rsidR="00A716FB" w:rsidRPr="005537E2" w14:paraId="3EB497AB" w14:textId="77777777" w:rsidTr="005E2C4A">
        <w:tc>
          <w:tcPr>
            <w:tcW w:w="2609" w:type="dxa"/>
            <w:shd w:val="clear" w:color="auto" w:fill="auto"/>
            <w:tcMar>
              <w:top w:w="85" w:type="dxa"/>
              <w:left w:w="85" w:type="dxa"/>
              <w:bottom w:w="85" w:type="dxa"/>
              <w:right w:w="85" w:type="dxa"/>
            </w:tcMar>
          </w:tcPr>
          <w:p w14:paraId="0AAA5D70" w14:textId="77777777" w:rsidR="00C308D2" w:rsidRPr="005537E2" w:rsidRDefault="00C308D2" w:rsidP="00437B45">
            <w:pPr>
              <w:pStyle w:val="NoSpacing"/>
              <w:rPr>
                <w:rFonts w:asciiTheme="minorHAnsi" w:hAnsiTheme="minorHAnsi" w:cstheme="minorHAnsi"/>
              </w:rPr>
            </w:pPr>
            <w:r w:rsidRPr="005537E2">
              <w:rPr>
                <w:rFonts w:asciiTheme="minorHAnsi" w:hAnsiTheme="minorHAnsi" w:cstheme="minorHAnsi"/>
              </w:rPr>
              <w:t>Name of Internal Auditor:</w:t>
            </w:r>
          </w:p>
        </w:tc>
        <w:tc>
          <w:tcPr>
            <w:tcW w:w="1814" w:type="dxa"/>
            <w:shd w:val="clear" w:color="auto" w:fill="auto"/>
            <w:tcMar>
              <w:top w:w="85" w:type="dxa"/>
              <w:left w:w="85" w:type="dxa"/>
              <w:bottom w:w="85" w:type="dxa"/>
              <w:right w:w="85" w:type="dxa"/>
            </w:tcMar>
          </w:tcPr>
          <w:p w14:paraId="44CF4BE8" w14:textId="211FCD37" w:rsidR="00C308D2" w:rsidRPr="005537E2" w:rsidRDefault="00B73C36" w:rsidP="00437B45">
            <w:pPr>
              <w:pStyle w:val="NoSpacing"/>
              <w:rPr>
                <w:rFonts w:asciiTheme="minorHAnsi" w:hAnsiTheme="minorHAnsi" w:cstheme="minorHAnsi"/>
              </w:rPr>
            </w:pPr>
            <w:r>
              <w:rPr>
                <w:rFonts w:asciiTheme="minorHAnsi" w:hAnsiTheme="minorHAnsi" w:cstheme="minorHAnsi"/>
              </w:rPr>
              <w:t>Mrs TL Charteress</w:t>
            </w:r>
          </w:p>
        </w:tc>
        <w:tc>
          <w:tcPr>
            <w:tcW w:w="2410" w:type="dxa"/>
            <w:shd w:val="clear" w:color="auto" w:fill="auto"/>
            <w:tcMar>
              <w:top w:w="85" w:type="dxa"/>
              <w:left w:w="85" w:type="dxa"/>
              <w:bottom w:w="85" w:type="dxa"/>
              <w:right w:w="85" w:type="dxa"/>
            </w:tcMar>
          </w:tcPr>
          <w:p w14:paraId="5F9FE24A" w14:textId="77777777" w:rsidR="00C308D2" w:rsidRPr="005537E2" w:rsidRDefault="00C308D2" w:rsidP="00437B45">
            <w:pPr>
              <w:pStyle w:val="NoSpacing"/>
              <w:rPr>
                <w:rFonts w:asciiTheme="minorHAnsi" w:hAnsiTheme="minorHAnsi" w:cstheme="minorHAnsi"/>
              </w:rPr>
            </w:pPr>
            <w:r w:rsidRPr="005537E2">
              <w:rPr>
                <w:rFonts w:asciiTheme="minorHAnsi" w:hAnsiTheme="minorHAnsi" w:cstheme="minorHAnsi"/>
              </w:rPr>
              <w:t>Date of report:</w:t>
            </w:r>
          </w:p>
        </w:tc>
        <w:tc>
          <w:tcPr>
            <w:tcW w:w="2075" w:type="dxa"/>
            <w:shd w:val="clear" w:color="auto" w:fill="auto"/>
            <w:tcMar>
              <w:top w:w="85" w:type="dxa"/>
              <w:left w:w="85" w:type="dxa"/>
              <w:bottom w:w="85" w:type="dxa"/>
              <w:right w:w="85" w:type="dxa"/>
            </w:tcMar>
          </w:tcPr>
          <w:p w14:paraId="13B91703" w14:textId="421AF6E7" w:rsidR="00C308D2" w:rsidRPr="005537E2" w:rsidRDefault="00900E10" w:rsidP="00437B45">
            <w:pPr>
              <w:pStyle w:val="NoSpacing"/>
              <w:rPr>
                <w:rFonts w:asciiTheme="minorHAnsi" w:hAnsiTheme="minorHAnsi" w:cstheme="minorHAnsi"/>
              </w:rPr>
            </w:pPr>
            <w:r>
              <w:rPr>
                <w:rFonts w:asciiTheme="minorHAnsi" w:hAnsiTheme="minorHAnsi" w:cstheme="minorHAnsi"/>
              </w:rPr>
              <w:t>3</w:t>
            </w:r>
            <w:r w:rsidRPr="00900E10">
              <w:rPr>
                <w:rFonts w:asciiTheme="minorHAnsi" w:hAnsiTheme="minorHAnsi" w:cstheme="minorHAnsi"/>
                <w:vertAlign w:val="superscript"/>
              </w:rPr>
              <w:t>rd</w:t>
            </w:r>
            <w:r>
              <w:rPr>
                <w:rFonts w:asciiTheme="minorHAnsi" w:hAnsiTheme="minorHAnsi" w:cstheme="minorHAnsi"/>
              </w:rPr>
              <w:t xml:space="preserve"> May</w:t>
            </w:r>
            <w:r w:rsidR="00B73C36">
              <w:rPr>
                <w:rFonts w:asciiTheme="minorHAnsi" w:hAnsiTheme="minorHAnsi" w:cstheme="minorHAnsi"/>
              </w:rPr>
              <w:t xml:space="preserve"> 2022</w:t>
            </w:r>
          </w:p>
        </w:tc>
      </w:tr>
      <w:tr w:rsidR="00A716FB" w:rsidRPr="005537E2" w14:paraId="49037DCB" w14:textId="77777777" w:rsidTr="005E2C4A">
        <w:tc>
          <w:tcPr>
            <w:tcW w:w="2609" w:type="dxa"/>
            <w:shd w:val="clear" w:color="auto" w:fill="auto"/>
            <w:tcMar>
              <w:top w:w="85" w:type="dxa"/>
              <w:left w:w="85" w:type="dxa"/>
              <w:bottom w:w="85" w:type="dxa"/>
              <w:right w:w="85" w:type="dxa"/>
            </w:tcMar>
          </w:tcPr>
          <w:p w14:paraId="312B6333" w14:textId="77777777" w:rsidR="00C308D2" w:rsidRPr="005537E2" w:rsidRDefault="00310392" w:rsidP="00437B45">
            <w:pPr>
              <w:pStyle w:val="NoSpacing"/>
              <w:rPr>
                <w:rFonts w:asciiTheme="minorHAnsi" w:hAnsiTheme="minorHAnsi" w:cstheme="minorHAnsi"/>
              </w:rPr>
            </w:pPr>
            <w:r w:rsidRPr="005537E2">
              <w:rPr>
                <w:rFonts w:asciiTheme="minorHAnsi" w:hAnsiTheme="minorHAnsi" w:cstheme="minorHAnsi"/>
              </w:rPr>
              <w:t>Year ending:</w:t>
            </w:r>
          </w:p>
        </w:tc>
        <w:tc>
          <w:tcPr>
            <w:tcW w:w="1814" w:type="dxa"/>
            <w:shd w:val="clear" w:color="auto" w:fill="auto"/>
            <w:tcMar>
              <w:top w:w="85" w:type="dxa"/>
              <w:left w:w="85" w:type="dxa"/>
              <w:bottom w:w="85" w:type="dxa"/>
              <w:right w:w="85" w:type="dxa"/>
            </w:tcMar>
          </w:tcPr>
          <w:p w14:paraId="68895A77" w14:textId="06CFCCB0" w:rsidR="00C308D2" w:rsidRPr="005537E2" w:rsidRDefault="00310392" w:rsidP="007D4ABE">
            <w:pPr>
              <w:pStyle w:val="NoSpacing"/>
              <w:rPr>
                <w:rFonts w:asciiTheme="minorHAnsi" w:hAnsiTheme="minorHAnsi" w:cstheme="minorHAnsi"/>
              </w:rPr>
            </w:pPr>
            <w:r w:rsidRPr="005537E2">
              <w:rPr>
                <w:rFonts w:asciiTheme="minorHAnsi" w:hAnsiTheme="minorHAnsi" w:cstheme="minorHAnsi"/>
              </w:rPr>
              <w:t>31 March 20</w:t>
            </w:r>
            <w:r w:rsidR="00ED56DA" w:rsidRPr="005537E2">
              <w:rPr>
                <w:rFonts w:asciiTheme="minorHAnsi" w:hAnsiTheme="minorHAnsi" w:cstheme="minorHAnsi"/>
              </w:rPr>
              <w:t>2</w:t>
            </w:r>
            <w:r w:rsidR="00593D83" w:rsidRPr="005537E2">
              <w:rPr>
                <w:rFonts w:asciiTheme="minorHAnsi" w:hAnsiTheme="minorHAnsi" w:cstheme="minorHAnsi"/>
              </w:rPr>
              <w:t>2</w:t>
            </w:r>
          </w:p>
        </w:tc>
        <w:tc>
          <w:tcPr>
            <w:tcW w:w="2410" w:type="dxa"/>
            <w:shd w:val="clear" w:color="auto" w:fill="auto"/>
            <w:tcMar>
              <w:top w:w="85" w:type="dxa"/>
              <w:left w:w="85" w:type="dxa"/>
              <w:bottom w:w="85" w:type="dxa"/>
              <w:right w:w="85" w:type="dxa"/>
            </w:tcMar>
          </w:tcPr>
          <w:p w14:paraId="7860773F" w14:textId="549C6AD6" w:rsidR="00C308D2" w:rsidRPr="005537E2" w:rsidRDefault="00766395" w:rsidP="00437B45">
            <w:pPr>
              <w:pStyle w:val="NoSpacing"/>
              <w:rPr>
                <w:rFonts w:asciiTheme="minorHAnsi" w:hAnsiTheme="minorHAnsi" w:cstheme="minorHAnsi"/>
              </w:rPr>
            </w:pPr>
            <w:r w:rsidRPr="005537E2">
              <w:rPr>
                <w:rFonts w:asciiTheme="minorHAnsi" w:hAnsiTheme="minorHAnsi" w:cstheme="minorHAnsi"/>
              </w:rPr>
              <w:t>Date audit</w:t>
            </w:r>
            <w:r w:rsidR="005E2C4A">
              <w:rPr>
                <w:rFonts w:asciiTheme="minorHAnsi" w:hAnsiTheme="minorHAnsi" w:cstheme="minorHAnsi"/>
              </w:rPr>
              <w:t>s</w:t>
            </w:r>
            <w:r w:rsidRPr="005537E2">
              <w:rPr>
                <w:rFonts w:asciiTheme="minorHAnsi" w:hAnsiTheme="minorHAnsi" w:cstheme="minorHAnsi"/>
              </w:rPr>
              <w:t xml:space="preserve"> carried out:</w:t>
            </w:r>
          </w:p>
        </w:tc>
        <w:tc>
          <w:tcPr>
            <w:tcW w:w="2075" w:type="dxa"/>
            <w:shd w:val="clear" w:color="auto" w:fill="auto"/>
            <w:tcMar>
              <w:top w:w="85" w:type="dxa"/>
              <w:left w:w="85" w:type="dxa"/>
              <w:bottom w:w="85" w:type="dxa"/>
              <w:right w:w="85" w:type="dxa"/>
            </w:tcMar>
          </w:tcPr>
          <w:p w14:paraId="3BF6F6E5" w14:textId="455F4303" w:rsidR="005E2C4A" w:rsidRDefault="005E2C4A" w:rsidP="00437B45">
            <w:pPr>
              <w:pStyle w:val="NoSpacing"/>
              <w:rPr>
                <w:rFonts w:asciiTheme="minorHAnsi" w:hAnsiTheme="minorHAnsi" w:cstheme="minorHAnsi"/>
              </w:rPr>
            </w:pPr>
            <w:r>
              <w:rPr>
                <w:rFonts w:asciiTheme="minorHAnsi" w:hAnsiTheme="minorHAnsi" w:cstheme="minorHAnsi"/>
              </w:rPr>
              <w:t>27</w:t>
            </w:r>
            <w:r w:rsidRPr="005E2C4A">
              <w:rPr>
                <w:rFonts w:asciiTheme="minorHAnsi" w:hAnsiTheme="minorHAnsi" w:cstheme="minorHAnsi"/>
                <w:vertAlign w:val="superscript"/>
              </w:rPr>
              <w:t>th</w:t>
            </w:r>
            <w:r>
              <w:rPr>
                <w:rFonts w:asciiTheme="minorHAnsi" w:hAnsiTheme="minorHAnsi" w:cstheme="minorHAnsi"/>
              </w:rPr>
              <w:t xml:space="preserve"> September 2021</w:t>
            </w:r>
          </w:p>
          <w:p w14:paraId="0335824B" w14:textId="77777777" w:rsidR="00C308D2" w:rsidRDefault="00301B27" w:rsidP="00437B45">
            <w:pPr>
              <w:pStyle w:val="NoSpacing"/>
              <w:rPr>
                <w:rFonts w:asciiTheme="minorHAnsi" w:hAnsiTheme="minorHAnsi" w:cstheme="minorHAnsi"/>
              </w:rPr>
            </w:pPr>
            <w:r>
              <w:rPr>
                <w:rFonts w:asciiTheme="minorHAnsi" w:hAnsiTheme="minorHAnsi" w:cstheme="minorHAnsi"/>
              </w:rPr>
              <w:t>1</w:t>
            </w:r>
            <w:r w:rsidRPr="00301B27">
              <w:rPr>
                <w:rFonts w:asciiTheme="minorHAnsi" w:hAnsiTheme="minorHAnsi" w:cstheme="minorHAnsi"/>
                <w:vertAlign w:val="superscript"/>
              </w:rPr>
              <w:t>st</w:t>
            </w:r>
            <w:r>
              <w:rPr>
                <w:rFonts w:asciiTheme="minorHAnsi" w:hAnsiTheme="minorHAnsi" w:cstheme="minorHAnsi"/>
              </w:rPr>
              <w:t xml:space="preserve"> February</w:t>
            </w:r>
            <w:r w:rsidR="00B73C36">
              <w:rPr>
                <w:rFonts w:asciiTheme="minorHAnsi" w:hAnsiTheme="minorHAnsi" w:cstheme="minorHAnsi"/>
              </w:rPr>
              <w:t xml:space="preserve"> 2022</w:t>
            </w:r>
          </w:p>
          <w:p w14:paraId="27CB9AEF" w14:textId="12F3B3C5" w:rsidR="00900E10" w:rsidRPr="005537E2" w:rsidRDefault="00900E10" w:rsidP="00437B45">
            <w:pPr>
              <w:pStyle w:val="NoSpacing"/>
              <w:rPr>
                <w:rFonts w:asciiTheme="minorHAnsi" w:hAnsiTheme="minorHAnsi" w:cstheme="minorHAnsi"/>
              </w:rPr>
            </w:pPr>
            <w:r>
              <w:rPr>
                <w:rFonts w:asciiTheme="minorHAnsi" w:hAnsiTheme="minorHAnsi" w:cstheme="minorHAnsi"/>
              </w:rPr>
              <w:t>3</w:t>
            </w:r>
            <w:r w:rsidRPr="00900E10">
              <w:rPr>
                <w:rFonts w:asciiTheme="minorHAnsi" w:hAnsiTheme="minorHAnsi" w:cstheme="minorHAnsi"/>
                <w:vertAlign w:val="superscript"/>
              </w:rPr>
              <w:t>rd</w:t>
            </w:r>
            <w:r>
              <w:rPr>
                <w:rFonts w:asciiTheme="minorHAnsi" w:hAnsiTheme="minorHAnsi" w:cstheme="minorHAnsi"/>
              </w:rPr>
              <w:t xml:space="preserve"> May 2022</w:t>
            </w:r>
          </w:p>
        </w:tc>
      </w:tr>
    </w:tbl>
    <w:p w14:paraId="25FDACB7" w14:textId="77777777" w:rsidR="00C308D2" w:rsidRPr="005537E2" w:rsidRDefault="00C308D2" w:rsidP="00C308D2">
      <w:pPr>
        <w:pStyle w:val="NoSpacing"/>
        <w:jc w:val="center"/>
        <w:rPr>
          <w:rFonts w:asciiTheme="minorHAnsi" w:hAnsiTheme="minorHAnsi" w:cstheme="minorHAnsi"/>
        </w:rPr>
      </w:pPr>
    </w:p>
    <w:p w14:paraId="0FD7A567" w14:textId="77777777" w:rsidR="00C308D2" w:rsidRPr="005537E2" w:rsidRDefault="00C308D2" w:rsidP="00C308D2">
      <w:pPr>
        <w:pStyle w:val="NoSpacing"/>
        <w:jc w:val="center"/>
        <w:rPr>
          <w:rFonts w:asciiTheme="minorHAnsi" w:hAnsiTheme="minorHAnsi" w:cstheme="minorHAnsi"/>
          <w:sz w:val="18"/>
        </w:rPr>
      </w:pPr>
    </w:p>
    <w:p w14:paraId="5EF10761" w14:textId="77777777" w:rsidR="00024417" w:rsidRPr="005537E2" w:rsidRDefault="00654DE9" w:rsidP="00024417">
      <w:pPr>
        <w:pStyle w:val="NoSpacing"/>
        <w:rPr>
          <w:rFonts w:asciiTheme="minorHAnsi" w:hAnsiTheme="minorHAnsi" w:cstheme="minorHAnsi"/>
          <w:i/>
          <w:sz w:val="20"/>
        </w:rPr>
      </w:pPr>
      <w:r w:rsidRPr="005537E2">
        <w:rPr>
          <w:rFonts w:asciiTheme="minorHAnsi" w:hAnsiTheme="minorHAnsi" w:cstheme="minorHAnsi"/>
          <w:i/>
          <w:sz w:val="20"/>
        </w:rPr>
        <w:t xml:space="preserve">Internal audit is the periodic independent review of a council’s internal controls resulting in an assurance report designed to improve the effectiveness and efficiency of the activities and operating procedures under the council’s control.  Managing the council’s internal controls </w:t>
      </w:r>
      <w:r w:rsidR="00E161C6" w:rsidRPr="005537E2">
        <w:rPr>
          <w:rFonts w:asciiTheme="minorHAnsi" w:hAnsiTheme="minorHAnsi" w:cstheme="minorHAnsi"/>
          <w:i/>
          <w:sz w:val="20"/>
        </w:rPr>
        <w:t>should be</w:t>
      </w:r>
      <w:r w:rsidRPr="005537E2">
        <w:rPr>
          <w:rFonts w:asciiTheme="minorHAnsi" w:hAnsiTheme="minorHAnsi" w:cstheme="minorHAnsi"/>
          <w:i/>
          <w:sz w:val="20"/>
        </w:rPr>
        <w:t xml:space="preserve"> a day-to-day function of the council through its staff and </w:t>
      </w:r>
      <w:r w:rsidR="00E161C6" w:rsidRPr="005537E2">
        <w:rPr>
          <w:rFonts w:asciiTheme="minorHAnsi" w:hAnsiTheme="minorHAnsi" w:cstheme="minorHAnsi"/>
          <w:i/>
          <w:sz w:val="20"/>
        </w:rPr>
        <w:t>management</w:t>
      </w:r>
      <w:r w:rsidRPr="005537E2">
        <w:rPr>
          <w:rFonts w:asciiTheme="minorHAnsi" w:hAnsiTheme="minorHAnsi" w:cstheme="minorHAnsi"/>
          <w:i/>
          <w:sz w:val="20"/>
        </w:rPr>
        <w:t xml:space="preserve"> and</w:t>
      </w:r>
      <w:r w:rsidR="00E161C6" w:rsidRPr="005537E2">
        <w:rPr>
          <w:rFonts w:asciiTheme="minorHAnsi" w:hAnsiTheme="minorHAnsi" w:cstheme="minorHAnsi"/>
          <w:i/>
          <w:sz w:val="20"/>
        </w:rPr>
        <w:t xml:space="preserve"> not left for internal audit.  I</w:t>
      </w:r>
      <w:r w:rsidRPr="005537E2">
        <w:rPr>
          <w:rFonts w:asciiTheme="minorHAnsi" w:hAnsiTheme="minorHAnsi" w:cstheme="minorHAnsi"/>
          <w:i/>
          <w:sz w:val="20"/>
        </w:rPr>
        <w:t>t would be incorrect to view internal audit as the detailed inspection of all records and transactions of a council in order to detect error or fraud.  This report is based on the evidence made available to me and consequently the report is limited to those matters set out below.</w:t>
      </w:r>
    </w:p>
    <w:p w14:paraId="5FB4FF76" w14:textId="77777777" w:rsidR="00024417" w:rsidRPr="005537E2" w:rsidRDefault="00024417" w:rsidP="00024417">
      <w:pPr>
        <w:pStyle w:val="NoSpacing"/>
        <w:rPr>
          <w:rFonts w:asciiTheme="minorHAnsi" w:hAnsiTheme="minorHAnsi" w:cstheme="minorHAnsi"/>
          <w:i/>
          <w:sz w:val="20"/>
        </w:rPr>
      </w:pPr>
    </w:p>
    <w:p w14:paraId="3DB928EF" w14:textId="77777777" w:rsidR="00024417" w:rsidRPr="005537E2" w:rsidRDefault="00024417" w:rsidP="00024417">
      <w:pPr>
        <w:pStyle w:val="NoSpacing"/>
        <w:rPr>
          <w:rFonts w:asciiTheme="minorHAnsi" w:hAnsiTheme="minorHAnsi" w:cstheme="minorHAnsi"/>
          <w:b/>
          <w:i/>
          <w:sz w:val="20"/>
        </w:rPr>
      </w:pPr>
      <w:r w:rsidRPr="005537E2">
        <w:rPr>
          <w:rFonts w:asciiTheme="minorHAnsi" w:hAnsiTheme="minorHAnsi" w:cstheme="minorHAnsi"/>
          <w:b/>
          <w:i/>
          <w:sz w:val="20"/>
        </w:rPr>
        <w:t>The council is required to take appropriate action on all matters raised in reports from internal and external audit and to respond to matters brought to its attention by internal and external audit. Failure to take appropriate action may lead to a qualified audit opinion.</w:t>
      </w:r>
    </w:p>
    <w:p w14:paraId="03643537" w14:textId="77777777" w:rsidR="00024417" w:rsidRPr="005537E2" w:rsidRDefault="00024417" w:rsidP="00024417">
      <w:pPr>
        <w:pStyle w:val="NoSpacing"/>
        <w:rPr>
          <w:rFonts w:asciiTheme="minorHAnsi" w:hAnsiTheme="minorHAnsi" w:cstheme="minorHAnsi"/>
          <w:b/>
          <w:i/>
          <w:sz w:val="20"/>
        </w:rPr>
      </w:pPr>
    </w:p>
    <w:p w14:paraId="365A3109" w14:textId="77777777" w:rsidR="00024417" w:rsidRPr="005537E2" w:rsidRDefault="00024417" w:rsidP="00024417">
      <w:pPr>
        <w:pStyle w:val="NoSpacing"/>
        <w:rPr>
          <w:rFonts w:asciiTheme="minorHAnsi" w:hAnsiTheme="minorHAnsi" w:cstheme="minorHAnsi"/>
          <w:b/>
          <w:i/>
          <w:sz w:val="20"/>
        </w:rPr>
      </w:pPr>
    </w:p>
    <w:p w14:paraId="3D17E6A2" w14:textId="7ACDCBDF" w:rsidR="00C308D2" w:rsidRPr="005537E2" w:rsidRDefault="00C308D2" w:rsidP="00C308D2">
      <w:pPr>
        <w:pStyle w:val="NoSpacing"/>
        <w:rPr>
          <w:rFonts w:asciiTheme="minorHAnsi" w:hAnsiTheme="minorHAnsi" w:cstheme="minorHAnsi"/>
          <w:b/>
        </w:rPr>
      </w:pPr>
      <w:r w:rsidRPr="005537E2">
        <w:rPr>
          <w:rFonts w:asciiTheme="minorHAnsi" w:hAnsiTheme="minorHAnsi" w:cstheme="minorHAnsi"/>
          <w:b/>
        </w:rPr>
        <w:t xml:space="preserve">To the </w:t>
      </w:r>
      <w:r w:rsidR="00B73C36">
        <w:rPr>
          <w:rFonts w:asciiTheme="minorHAnsi" w:hAnsiTheme="minorHAnsi" w:cstheme="minorHAnsi"/>
          <w:b/>
        </w:rPr>
        <w:t>Mayor</w:t>
      </w:r>
      <w:r w:rsidRPr="005537E2">
        <w:rPr>
          <w:rFonts w:asciiTheme="minorHAnsi" w:hAnsiTheme="minorHAnsi" w:cstheme="minorHAnsi"/>
          <w:b/>
        </w:rPr>
        <w:t xml:space="preserve"> of the Council:</w:t>
      </w:r>
    </w:p>
    <w:p w14:paraId="58F7AFD0" w14:textId="77777777" w:rsidR="00C308D2" w:rsidRPr="005537E2" w:rsidRDefault="00C308D2" w:rsidP="00C308D2">
      <w:pPr>
        <w:pStyle w:val="NoSpacing"/>
        <w:rPr>
          <w:rFonts w:asciiTheme="minorHAnsi" w:hAnsiTheme="minorHAnsi" w:cstheme="minorHAnsi"/>
        </w:rPr>
      </w:pPr>
    </w:p>
    <w:p w14:paraId="0B69D488" w14:textId="37C8F4EA" w:rsidR="00B73C36" w:rsidRPr="00A7489A" w:rsidRDefault="00B73C36" w:rsidP="00B73C36">
      <w:pPr>
        <w:pStyle w:val="NoSpacing"/>
        <w:rPr>
          <w:rFonts w:cs="Calibri"/>
        </w:rPr>
      </w:pPr>
      <w:r w:rsidRPr="00A7489A">
        <w:rPr>
          <w:rFonts w:cs="Calibri"/>
        </w:rPr>
        <w:t xml:space="preserve">Thank you very much </w:t>
      </w:r>
      <w:r>
        <w:rPr>
          <w:rFonts w:cs="Calibri"/>
        </w:rPr>
        <w:t>to the Finance Officer and Town Clerk for supplying me with the information I requested to carry out th</w:t>
      </w:r>
      <w:r w:rsidR="00B858D7">
        <w:rPr>
          <w:rFonts w:cs="Calibri"/>
        </w:rPr>
        <w:t>e</w:t>
      </w:r>
      <w:r>
        <w:rPr>
          <w:rFonts w:cs="Calibri"/>
        </w:rPr>
        <w:t xml:space="preserve"> </w:t>
      </w:r>
      <w:r w:rsidR="00900E10">
        <w:rPr>
          <w:rFonts w:cs="Calibri"/>
        </w:rPr>
        <w:t>Annual</w:t>
      </w:r>
      <w:r>
        <w:rPr>
          <w:rFonts w:cs="Calibri"/>
        </w:rPr>
        <w:t xml:space="preserve"> Internal Audit. </w:t>
      </w:r>
      <w:r w:rsidR="00900E10">
        <w:rPr>
          <w:rFonts w:cs="Calibri"/>
        </w:rPr>
        <w:t>This Audit has been carried out remotely.</w:t>
      </w:r>
    </w:p>
    <w:p w14:paraId="4D749735" w14:textId="6D774870" w:rsidR="00C308D2" w:rsidRDefault="00C308D2" w:rsidP="00C308D2">
      <w:pPr>
        <w:pStyle w:val="NoSpacing"/>
        <w:rPr>
          <w:rFonts w:asciiTheme="minorHAnsi" w:hAnsiTheme="minorHAnsi" w:cstheme="minorHAnsi"/>
        </w:rPr>
      </w:pPr>
    </w:p>
    <w:p w14:paraId="1422E91A" w14:textId="77546110" w:rsidR="00621482" w:rsidRPr="00621482" w:rsidRDefault="00621482" w:rsidP="00C308D2">
      <w:pPr>
        <w:pStyle w:val="NoSpacing"/>
        <w:rPr>
          <w:rFonts w:asciiTheme="minorHAnsi" w:hAnsiTheme="minorHAnsi" w:cstheme="minorHAnsi"/>
          <w:b/>
          <w:bCs/>
        </w:rPr>
      </w:pPr>
      <w:r w:rsidRPr="00621482">
        <w:rPr>
          <w:rFonts w:asciiTheme="minorHAnsi" w:hAnsiTheme="minorHAnsi" w:cstheme="minorHAnsi"/>
          <w:b/>
          <w:bCs/>
        </w:rPr>
        <w:t>Results</w:t>
      </w:r>
    </w:p>
    <w:p w14:paraId="7B1C9706" w14:textId="12DAB6E5" w:rsidR="00621482" w:rsidRDefault="00621482" w:rsidP="00C308D2">
      <w:pPr>
        <w:pStyle w:val="NoSpacing"/>
        <w:rPr>
          <w:rFonts w:asciiTheme="minorHAnsi" w:hAnsiTheme="minorHAnsi" w:cstheme="minorHAnsi"/>
        </w:rPr>
      </w:pPr>
    </w:p>
    <w:p w14:paraId="6BA73074" w14:textId="678CBBD8" w:rsidR="00621482" w:rsidRDefault="00621482" w:rsidP="00C308D2">
      <w:pPr>
        <w:pStyle w:val="NoSpacing"/>
        <w:rPr>
          <w:rFonts w:asciiTheme="minorHAnsi" w:hAnsiTheme="minorHAnsi" w:cstheme="minorHAnsi"/>
        </w:rPr>
      </w:pPr>
      <w:r>
        <w:rPr>
          <w:rFonts w:asciiTheme="minorHAnsi" w:hAnsiTheme="minorHAnsi" w:cstheme="minorHAnsi"/>
        </w:rPr>
        <w:t>The work completed is identified in the table below and action required is highlighted:</w:t>
      </w:r>
    </w:p>
    <w:p w14:paraId="1D0F4D4D" w14:textId="6F1531CD" w:rsidR="00621482" w:rsidRDefault="00621482" w:rsidP="00C308D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2547"/>
        <w:gridCol w:w="6469"/>
      </w:tblGrid>
      <w:tr w:rsidR="00621482" w14:paraId="47225CC5" w14:textId="77777777" w:rsidTr="00621482">
        <w:tc>
          <w:tcPr>
            <w:tcW w:w="2547" w:type="dxa"/>
          </w:tcPr>
          <w:p w14:paraId="16360C5F" w14:textId="77777777" w:rsidR="00621482" w:rsidRDefault="00621482" w:rsidP="00C308D2">
            <w:pPr>
              <w:pStyle w:val="NoSpacing"/>
              <w:rPr>
                <w:rFonts w:asciiTheme="minorHAnsi" w:hAnsiTheme="minorHAnsi" w:cstheme="minorHAnsi"/>
                <w:b/>
                <w:bCs/>
              </w:rPr>
            </w:pPr>
            <w:r w:rsidRPr="00621482">
              <w:rPr>
                <w:rFonts w:asciiTheme="minorHAnsi" w:hAnsiTheme="minorHAnsi" w:cstheme="minorHAnsi"/>
                <w:b/>
                <w:bCs/>
              </w:rPr>
              <w:t>Area of Work</w:t>
            </w:r>
          </w:p>
          <w:p w14:paraId="69B05F3C" w14:textId="55EA3D14" w:rsidR="00621482" w:rsidRPr="00621482" w:rsidRDefault="00621482" w:rsidP="00C308D2">
            <w:pPr>
              <w:pStyle w:val="NoSpacing"/>
              <w:rPr>
                <w:rFonts w:asciiTheme="minorHAnsi" w:hAnsiTheme="minorHAnsi" w:cstheme="minorHAnsi"/>
                <w:b/>
                <w:bCs/>
              </w:rPr>
            </w:pPr>
          </w:p>
        </w:tc>
        <w:tc>
          <w:tcPr>
            <w:tcW w:w="6469" w:type="dxa"/>
          </w:tcPr>
          <w:p w14:paraId="2E4278D5" w14:textId="1453402D" w:rsidR="00621482" w:rsidRPr="00621482" w:rsidRDefault="00621482" w:rsidP="00C308D2">
            <w:pPr>
              <w:pStyle w:val="NoSpacing"/>
              <w:rPr>
                <w:rFonts w:asciiTheme="minorHAnsi" w:hAnsiTheme="minorHAnsi" w:cstheme="minorHAnsi"/>
                <w:b/>
                <w:bCs/>
              </w:rPr>
            </w:pPr>
            <w:r w:rsidRPr="00621482">
              <w:rPr>
                <w:rFonts w:asciiTheme="minorHAnsi" w:hAnsiTheme="minorHAnsi" w:cstheme="minorHAnsi"/>
                <w:b/>
                <w:bCs/>
              </w:rPr>
              <w:t>Observations/Points</w:t>
            </w:r>
          </w:p>
        </w:tc>
      </w:tr>
      <w:tr w:rsidR="00027654" w14:paraId="7B9EDA5F" w14:textId="77777777" w:rsidTr="00621482">
        <w:tc>
          <w:tcPr>
            <w:tcW w:w="2547" w:type="dxa"/>
          </w:tcPr>
          <w:p w14:paraId="401F3DFF" w14:textId="77777777" w:rsidR="00027654" w:rsidRPr="00C056B7" w:rsidRDefault="00027654" w:rsidP="00C308D2">
            <w:pPr>
              <w:pStyle w:val="NoSpacing"/>
              <w:rPr>
                <w:rFonts w:asciiTheme="minorHAnsi" w:hAnsiTheme="minorHAnsi" w:cstheme="minorHAnsi"/>
              </w:rPr>
            </w:pPr>
            <w:r w:rsidRPr="00C056B7">
              <w:rPr>
                <w:rFonts w:asciiTheme="minorHAnsi" w:hAnsiTheme="minorHAnsi" w:cstheme="minorHAnsi"/>
              </w:rPr>
              <w:t>Adoption of Policies</w:t>
            </w:r>
          </w:p>
        </w:tc>
        <w:tc>
          <w:tcPr>
            <w:tcW w:w="6469" w:type="dxa"/>
          </w:tcPr>
          <w:p w14:paraId="099A32E3" w14:textId="54878AC1" w:rsidR="00027654" w:rsidRPr="00543845" w:rsidRDefault="00900E10" w:rsidP="00C308D2">
            <w:pPr>
              <w:pStyle w:val="NoSpacing"/>
              <w:rPr>
                <w:rFonts w:asciiTheme="minorHAnsi" w:hAnsiTheme="minorHAnsi" w:cstheme="minorHAnsi"/>
                <w:color w:val="FF0000"/>
              </w:rPr>
            </w:pPr>
            <w:r>
              <w:rPr>
                <w:rFonts w:asciiTheme="minorHAnsi" w:hAnsiTheme="minorHAnsi" w:cstheme="minorHAnsi"/>
              </w:rPr>
              <w:t>K</w:t>
            </w:r>
            <w:r w:rsidR="00C056B7">
              <w:rPr>
                <w:rFonts w:asciiTheme="minorHAnsi" w:hAnsiTheme="minorHAnsi" w:cstheme="minorHAnsi"/>
              </w:rPr>
              <w:t xml:space="preserve">ey policies were adopted in April </w:t>
            </w:r>
            <w:r w:rsidR="00515DBF">
              <w:rPr>
                <w:rFonts w:asciiTheme="minorHAnsi" w:hAnsiTheme="minorHAnsi" w:cstheme="minorHAnsi"/>
              </w:rPr>
              <w:t xml:space="preserve">2021 </w:t>
            </w:r>
            <w:r w:rsidR="00C056B7">
              <w:rPr>
                <w:rFonts w:asciiTheme="minorHAnsi" w:hAnsiTheme="minorHAnsi" w:cstheme="minorHAnsi"/>
              </w:rPr>
              <w:t xml:space="preserve">and </w:t>
            </w:r>
            <w:r w:rsidR="00515DBF">
              <w:rPr>
                <w:rFonts w:asciiTheme="minorHAnsi" w:hAnsiTheme="minorHAnsi" w:cstheme="minorHAnsi"/>
              </w:rPr>
              <w:t>have been</w:t>
            </w:r>
            <w:r w:rsidR="00C056B7">
              <w:rPr>
                <w:rFonts w:asciiTheme="minorHAnsi" w:hAnsiTheme="minorHAnsi" w:cstheme="minorHAnsi"/>
              </w:rPr>
              <w:t xml:space="preserve"> reviewed throughout the year a</w:t>
            </w:r>
            <w:r w:rsidR="00641E7C">
              <w:rPr>
                <w:rFonts w:asciiTheme="minorHAnsi" w:hAnsiTheme="minorHAnsi" w:cstheme="minorHAnsi"/>
              </w:rPr>
              <w:t>s</w:t>
            </w:r>
            <w:r w:rsidR="00C056B7">
              <w:rPr>
                <w:rFonts w:asciiTheme="minorHAnsi" w:hAnsiTheme="minorHAnsi" w:cstheme="minorHAnsi"/>
              </w:rPr>
              <w:t xml:space="preserve"> the Town Council is establishing due process.</w:t>
            </w:r>
          </w:p>
        </w:tc>
      </w:tr>
      <w:tr w:rsidR="009F57FC" w14:paraId="49B16F92" w14:textId="77777777" w:rsidTr="00621482">
        <w:tc>
          <w:tcPr>
            <w:tcW w:w="2547" w:type="dxa"/>
          </w:tcPr>
          <w:p w14:paraId="73222179" w14:textId="2AF4948D" w:rsidR="009F57FC" w:rsidRPr="00C056B7" w:rsidRDefault="009F57FC" w:rsidP="00C308D2">
            <w:pPr>
              <w:pStyle w:val="NoSpacing"/>
              <w:rPr>
                <w:rFonts w:asciiTheme="minorHAnsi" w:hAnsiTheme="minorHAnsi" w:cstheme="minorHAnsi"/>
              </w:rPr>
            </w:pPr>
            <w:r>
              <w:rPr>
                <w:rFonts w:asciiTheme="minorHAnsi" w:hAnsiTheme="minorHAnsi" w:cstheme="minorHAnsi"/>
              </w:rPr>
              <w:t>Accounting records</w:t>
            </w:r>
          </w:p>
        </w:tc>
        <w:tc>
          <w:tcPr>
            <w:tcW w:w="6469" w:type="dxa"/>
          </w:tcPr>
          <w:p w14:paraId="290DCC6B" w14:textId="77777777" w:rsidR="009F57FC" w:rsidRDefault="009F57FC" w:rsidP="009F57FC">
            <w:pPr>
              <w:pStyle w:val="NoSpacing"/>
              <w:rPr>
                <w:rFonts w:asciiTheme="minorHAnsi" w:hAnsiTheme="minorHAnsi" w:cstheme="minorHAnsi"/>
              </w:rPr>
            </w:pPr>
            <w:r>
              <w:rPr>
                <w:rFonts w:asciiTheme="minorHAnsi" w:hAnsiTheme="minorHAnsi" w:cstheme="minorHAnsi"/>
              </w:rPr>
              <w:t xml:space="preserve">The Accounts were properly maintained during the financial year and the correct carry forward figure was rolled over. </w:t>
            </w:r>
          </w:p>
          <w:p w14:paraId="7F6B127E" w14:textId="1167E8D6" w:rsidR="009F57FC" w:rsidRDefault="009F57FC" w:rsidP="009F57FC">
            <w:pPr>
              <w:pStyle w:val="NoSpacing"/>
              <w:rPr>
                <w:rFonts w:asciiTheme="minorHAnsi" w:hAnsiTheme="minorHAnsi" w:cstheme="minorHAnsi"/>
              </w:rPr>
            </w:pPr>
            <w:r>
              <w:rPr>
                <w:rFonts w:asciiTheme="minorHAnsi" w:hAnsiTheme="minorHAnsi" w:cstheme="minorHAnsi"/>
              </w:rPr>
              <w:t>Debtors &amp; Creditors were scrutinised with no areas of concern</w:t>
            </w:r>
          </w:p>
        </w:tc>
      </w:tr>
      <w:tr w:rsidR="009F57FC" w14:paraId="4230FECA" w14:textId="77777777" w:rsidTr="00621482">
        <w:tc>
          <w:tcPr>
            <w:tcW w:w="2547" w:type="dxa"/>
          </w:tcPr>
          <w:p w14:paraId="1AC01AD2" w14:textId="659908DF" w:rsidR="009F57FC" w:rsidRDefault="009F57FC" w:rsidP="00C308D2">
            <w:pPr>
              <w:pStyle w:val="NoSpacing"/>
              <w:rPr>
                <w:rFonts w:asciiTheme="minorHAnsi" w:hAnsiTheme="minorHAnsi" w:cstheme="minorHAnsi"/>
              </w:rPr>
            </w:pPr>
            <w:r>
              <w:rPr>
                <w:rFonts w:asciiTheme="minorHAnsi" w:hAnsiTheme="minorHAnsi" w:cstheme="minorHAnsi"/>
              </w:rPr>
              <w:t>Asset register</w:t>
            </w:r>
          </w:p>
        </w:tc>
        <w:tc>
          <w:tcPr>
            <w:tcW w:w="6469" w:type="dxa"/>
          </w:tcPr>
          <w:p w14:paraId="56D19AEB" w14:textId="7858165E" w:rsidR="009F57FC" w:rsidRDefault="009F57FC" w:rsidP="009F57FC">
            <w:pPr>
              <w:pStyle w:val="NoSpacing"/>
              <w:rPr>
                <w:rFonts w:asciiTheme="minorHAnsi" w:hAnsiTheme="minorHAnsi" w:cstheme="minorHAnsi"/>
              </w:rPr>
            </w:pPr>
            <w:r>
              <w:rPr>
                <w:rFonts w:asciiTheme="minorHAnsi" w:hAnsiTheme="minorHAnsi" w:cstheme="minorHAnsi"/>
              </w:rPr>
              <w:t>The Asset Register is an accurate reflection of council owned assets</w:t>
            </w:r>
            <w:r w:rsidR="00515DBF">
              <w:rPr>
                <w:rFonts w:asciiTheme="minorHAnsi" w:hAnsiTheme="minorHAnsi" w:cstheme="minorHAnsi"/>
              </w:rPr>
              <w:t xml:space="preserve"> and agrees to the Annual Return as presented</w:t>
            </w:r>
          </w:p>
        </w:tc>
      </w:tr>
      <w:tr w:rsidR="00027654" w14:paraId="195628B3" w14:textId="77777777" w:rsidTr="00621482">
        <w:tc>
          <w:tcPr>
            <w:tcW w:w="2547" w:type="dxa"/>
          </w:tcPr>
          <w:p w14:paraId="182C594A" w14:textId="77777777" w:rsidR="00027654" w:rsidRPr="00641E7C" w:rsidRDefault="00027654" w:rsidP="00C308D2">
            <w:pPr>
              <w:pStyle w:val="NoSpacing"/>
              <w:rPr>
                <w:rFonts w:asciiTheme="minorHAnsi" w:hAnsiTheme="minorHAnsi" w:cstheme="minorHAnsi"/>
              </w:rPr>
            </w:pPr>
            <w:r w:rsidRPr="00641E7C">
              <w:rPr>
                <w:rFonts w:asciiTheme="minorHAnsi" w:hAnsiTheme="minorHAnsi" w:cstheme="minorHAnsi"/>
              </w:rPr>
              <w:t>Bank reconciliations</w:t>
            </w:r>
          </w:p>
        </w:tc>
        <w:tc>
          <w:tcPr>
            <w:tcW w:w="6469" w:type="dxa"/>
          </w:tcPr>
          <w:p w14:paraId="786A1936" w14:textId="05354FAF" w:rsidR="00027654" w:rsidRPr="00641E7C" w:rsidRDefault="00027654" w:rsidP="00C308D2">
            <w:pPr>
              <w:pStyle w:val="NoSpacing"/>
              <w:rPr>
                <w:rFonts w:asciiTheme="minorHAnsi" w:hAnsiTheme="minorHAnsi" w:cstheme="minorHAnsi"/>
              </w:rPr>
            </w:pPr>
            <w:r w:rsidRPr="00641E7C">
              <w:rPr>
                <w:rFonts w:asciiTheme="minorHAnsi" w:hAnsiTheme="minorHAnsi" w:cstheme="minorHAnsi"/>
              </w:rPr>
              <w:t xml:space="preserve">Bank reconciliations were reviewed and confirmed to be done on a monthly basis with due care and attention. Bank balances were confirmed to statements as at the </w:t>
            </w:r>
            <w:r w:rsidR="00900E10">
              <w:rPr>
                <w:rFonts w:asciiTheme="minorHAnsi" w:hAnsiTheme="minorHAnsi" w:cstheme="minorHAnsi"/>
              </w:rPr>
              <w:t>31</w:t>
            </w:r>
            <w:r w:rsidR="00900E10" w:rsidRPr="00900E10">
              <w:rPr>
                <w:rFonts w:asciiTheme="minorHAnsi" w:hAnsiTheme="minorHAnsi" w:cstheme="minorHAnsi"/>
                <w:vertAlign w:val="superscript"/>
              </w:rPr>
              <w:t>st</w:t>
            </w:r>
            <w:r w:rsidR="00900E10">
              <w:rPr>
                <w:rFonts w:asciiTheme="minorHAnsi" w:hAnsiTheme="minorHAnsi" w:cstheme="minorHAnsi"/>
              </w:rPr>
              <w:t xml:space="preserve"> March</w:t>
            </w:r>
            <w:r w:rsidRPr="00641E7C">
              <w:rPr>
                <w:rFonts w:asciiTheme="minorHAnsi" w:hAnsiTheme="minorHAnsi" w:cstheme="minorHAnsi"/>
              </w:rPr>
              <w:t xml:space="preserve"> 202</w:t>
            </w:r>
            <w:r w:rsidR="00900E10">
              <w:rPr>
                <w:rFonts w:asciiTheme="minorHAnsi" w:hAnsiTheme="minorHAnsi" w:cstheme="minorHAnsi"/>
              </w:rPr>
              <w:t>2</w:t>
            </w:r>
            <w:r w:rsidRPr="00641E7C">
              <w:rPr>
                <w:rFonts w:asciiTheme="minorHAnsi" w:hAnsiTheme="minorHAnsi" w:cstheme="minorHAnsi"/>
              </w:rPr>
              <w:t>.</w:t>
            </w:r>
          </w:p>
        </w:tc>
      </w:tr>
      <w:tr w:rsidR="00027654" w14:paraId="36169DA4" w14:textId="77777777" w:rsidTr="00621482">
        <w:tc>
          <w:tcPr>
            <w:tcW w:w="2547" w:type="dxa"/>
          </w:tcPr>
          <w:p w14:paraId="7DFAEF3D" w14:textId="7259FEE0" w:rsidR="00027654" w:rsidRPr="00543845" w:rsidRDefault="00027654" w:rsidP="00C308D2">
            <w:pPr>
              <w:pStyle w:val="NoSpacing"/>
              <w:rPr>
                <w:rFonts w:asciiTheme="minorHAnsi" w:hAnsiTheme="minorHAnsi" w:cstheme="minorHAnsi"/>
                <w:color w:val="FF0000"/>
              </w:rPr>
            </w:pPr>
            <w:r w:rsidRPr="00641E7C">
              <w:rPr>
                <w:rFonts w:asciiTheme="minorHAnsi" w:hAnsiTheme="minorHAnsi" w:cstheme="minorHAnsi"/>
              </w:rPr>
              <w:t>Budget</w:t>
            </w:r>
          </w:p>
        </w:tc>
        <w:tc>
          <w:tcPr>
            <w:tcW w:w="6469" w:type="dxa"/>
          </w:tcPr>
          <w:p w14:paraId="1EB8E42F" w14:textId="386F7096" w:rsidR="00027654" w:rsidRPr="00543845" w:rsidRDefault="008A19E9" w:rsidP="00C308D2">
            <w:pPr>
              <w:pStyle w:val="NoSpacing"/>
              <w:rPr>
                <w:rFonts w:asciiTheme="minorHAnsi" w:hAnsiTheme="minorHAnsi" w:cstheme="minorHAnsi"/>
                <w:color w:val="FF0000"/>
              </w:rPr>
            </w:pPr>
            <w:r w:rsidRPr="00641E7C">
              <w:rPr>
                <w:rFonts w:asciiTheme="minorHAnsi" w:hAnsiTheme="minorHAnsi" w:cstheme="minorHAnsi"/>
              </w:rPr>
              <w:t xml:space="preserve">The Town Council </w:t>
            </w:r>
            <w:r w:rsidR="00D61320">
              <w:rPr>
                <w:rFonts w:asciiTheme="minorHAnsi" w:hAnsiTheme="minorHAnsi" w:cstheme="minorHAnsi"/>
              </w:rPr>
              <w:t>agreed a Budget at the meeting held on the 24</w:t>
            </w:r>
            <w:r w:rsidR="00D61320" w:rsidRPr="00D61320">
              <w:rPr>
                <w:rFonts w:asciiTheme="minorHAnsi" w:hAnsiTheme="minorHAnsi" w:cstheme="minorHAnsi"/>
                <w:vertAlign w:val="superscript"/>
              </w:rPr>
              <w:t>th</w:t>
            </w:r>
            <w:r w:rsidR="00D61320">
              <w:rPr>
                <w:rFonts w:asciiTheme="minorHAnsi" w:hAnsiTheme="minorHAnsi" w:cstheme="minorHAnsi"/>
              </w:rPr>
              <w:t xml:space="preserve"> January 2022 following detailed budget discussions at the Policy &amp; </w:t>
            </w:r>
            <w:r w:rsidR="00D61320">
              <w:rPr>
                <w:rFonts w:asciiTheme="minorHAnsi" w:hAnsiTheme="minorHAnsi" w:cstheme="minorHAnsi"/>
              </w:rPr>
              <w:lastRenderedPageBreak/>
              <w:t>Finance Committee</w:t>
            </w:r>
            <w:r w:rsidR="00801CEB">
              <w:rPr>
                <w:rFonts w:asciiTheme="minorHAnsi" w:hAnsiTheme="minorHAnsi" w:cstheme="minorHAnsi"/>
              </w:rPr>
              <w:t xml:space="preserve">. </w:t>
            </w:r>
            <w:r w:rsidR="00801CEB" w:rsidRPr="00801CEB">
              <w:rPr>
                <w:rFonts w:asciiTheme="minorHAnsi" w:hAnsiTheme="minorHAnsi" w:cstheme="minorHAnsi"/>
                <w:b/>
                <w:bCs/>
              </w:rPr>
              <w:t>NOTE: the budget for 2022/2023 is not displayed on the Town Council website finance page</w:t>
            </w:r>
          </w:p>
        </w:tc>
      </w:tr>
      <w:tr w:rsidR="00027654" w14:paraId="4C16CE56" w14:textId="77777777" w:rsidTr="00621482">
        <w:tc>
          <w:tcPr>
            <w:tcW w:w="2547" w:type="dxa"/>
          </w:tcPr>
          <w:p w14:paraId="1E16FA10" w14:textId="516CC8E3" w:rsidR="00027654" w:rsidRPr="00CA5F25" w:rsidRDefault="00027654" w:rsidP="00C308D2">
            <w:pPr>
              <w:pStyle w:val="NoSpacing"/>
              <w:rPr>
                <w:rFonts w:asciiTheme="minorHAnsi" w:hAnsiTheme="minorHAnsi" w:cstheme="minorHAnsi"/>
              </w:rPr>
            </w:pPr>
            <w:r w:rsidRPr="00CA5F25">
              <w:rPr>
                <w:rFonts w:asciiTheme="minorHAnsi" w:hAnsiTheme="minorHAnsi" w:cstheme="minorHAnsi"/>
              </w:rPr>
              <w:lastRenderedPageBreak/>
              <w:t>Earmarked Reserves</w:t>
            </w:r>
          </w:p>
        </w:tc>
        <w:tc>
          <w:tcPr>
            <w:tcW w:w="6469" w:type="dxa"/>
          </w:tcPr>
          <w:p w14:paraId="7283F9E6" w14:textId="5BFBE269" w:rsidR="00027654" w:rsidRPr="00CA5F25" w:rsidRDefault="00641E7C" w:rsidP="00C308D2">
            <w:pPr>
              <w:pStyle w:val="NoSpacing"/>
              <w:rPr>
                <w:rFonts w:asciiTheme="minorHAnsi" w:hAnsiTheme="minorHAnsi" w:cstheme="minorHAnsi"/>
              </w:rPr>
            </w:pPr>
            <w:r w:rsidRPr="00CA5F25">
              <w:rPr>
                <w:rFonts w:asciiTheme="minorHAnsi" w:hAnsiTheme="minorHAnsi" w:cstheme="minorHAnsi"/>
              </w:rPr>
              <w:t xml:space="preserve">Earmarked Reserves were agreed at the </w:t>
            </w:r>
            <w:r w:rsidR="00CA5F25" w:rsidRPr="00CA5F25">
              <w:rPr>
                <w:rFonts w:asciiTheme="minorHAnsi" w:hAnsiTheme="minorHAnsi" w:cstheme="minorHAnsi"/>
              </w:rPr>
              <w:t>Policy &amp; Finance Committee in October 2021</w:t>
            </w:r>
            <w:r w:rsidR="00900E10">
              <w:rPr>
                <w:rFonts w:asciiTheme="minorHAnsi" w:hAnsiTheme="minorHAnsi" w:cstheme="minorHAnsi"/>
              </w:rPr>
              <w:t xml:space="preserve"> and are noted on the </w:t>
            </w:r>
            <w:r w:rsidR="00D06953">
              <w:rPr>
                <w:rFonts w:asciiTheme="minorHAnsi" w:hAnsiTheme="minorHAnsi" w:cstheme="minorHAnsi"/>
              </w:rPr>
              <w:t>year-end</w:t>
            </w:r>
            <w:r w:rsidR="00900E10">
              <w:rPr>
                <w:rFonts w:asciiTheme="minorHAnsi" w:hAnsiTheme="minorHAnsi" w:cstheme="minorHAnsi"/>
              </w:rPr>
              <w:t xml:space="preserve"> Balance Sheet</w:t>
            </w:r>
          </w:p>
        </w:tc>
      </w:tr>
      <w:tr w:rsidR="00801CEB" w14:paraId="30186CE0" w14:textId="77777777" w:rsidTr="00621482">
        <w:tc>
          <w:tcPr>
            <w:tcW w:w="2547" w:type="dxa"/>
          </w:tcPr>
          <w:p w14:paraId="2F30A09D" w14:textId="516A5417" w:rsidR="00801CEB" w:rsidRPr="00CA5F25" w:rsidRDefault="00801CEB" w:rsidP="00C308D2">
            <w:pPr>
              <w:pStyle w:val="NoSpacing"/>
              <w:rPr>
                <w:rFonts w:asciiTheme="minorHAnsi" w:hAnsiTheme="minorHAnsi" w:cstheme="minorHAnsi"/>
              </w:rPr>
            </w:pPr>
            <w:r>
              <w:rPr>
                <w:rFonts w:asciiTheme="minorHAnsi" w:hAnsiTheme="minorHAnsi" w:cstheme="minorHAnsi"/>
              </w:rPr>
              <w:t>Insurance</w:t>
            </w:r>
          </w:p>
        </w:tc>
        <w:tc>
          <w:tcPr>
            <w:tcW w:w="6469" w:type="dxa"/>
          </w:tcPr>
          <w:p w14:paraId="778E7B2D" w14:textId="56FB3920" w:rsidR="00801CEB" w:rsidRPr="00CA5F25" w:rsidRDefault="00801CEB" w:rsidP="00C308D2">
            <w:pPr>
              <w:pStyle w:val="NoSpacing"/>
              <w:rPr>
                <w:rFonts w:asciiTheme="minorHAnsi" w:hAnsiTheme="minorHAnsi" w:cstheme="minorHAnsi"/>
              </w:rPr>
            </w:pPr>
            <w:r>
              <w:rPr>
                <w:rFonts w:asciiTheme="minorHAnsi" w:hAnsiTheme="minorHAnsi" w:cstheme="minorHAnsi"/>
              </w:rPr>
              <w:t xml:space="preserve">The Town Council’s insurance policy is with </w:t>
            </w:r>
            <w:proofErr w:type="spellStart"/>
            <w:r>
              <w:rPr>
                <w:rFonts w:asciiTheme="minorHAnsi" w:hAnsiTheme="minorHAnsi" w:cstheme="minorHAnsi"/>
              </w:rPr>
              <w:t>BHIP</w:t>
            </w:r>
            <w:proofErr w:type="spellEnd"/>
            <w:r>
              <w:rPr>
                <w:rFonts w:asciiTheme="minorHAnsi" w:hAnsiTheme="minorHAnsi" w:cstheme="minorHAnsi"/>
              </w:rPr>
              <w:t xml:space="preserve"> and cover appears to be adequate</w:t>
            </w:r>
          </w:p>
        </w:tc>
      </w:tr>
      <w:tr w:rsidR="00027654" w14:paraId="42691ED9" w14:textId="77777777" w:rsidTr="00621482">
        <w:tc>
          <w:tcPr>
            <w:tcW w:w="2547" w:type="dxa"/>
          </w:tcPr>
          <w:p w14:paraId="19642D14" w14:textId="77777777" w:rsidR="00027654" w:rsidRPr="00CA5F25" w:rsidRDefault="00027654" w:rsidP="00C308D2">
            <w:pPr>
              <w:pStyle w:val="NoSpacing"/>
              <w:rPr>
                <w:rFonts w:asciiTheme="minorHAnsi" w:hAnsiTheme="minorHAnsi" w:cstheme="minorHAnsi"/>
              </w:rPr>
            </w:pPr>
            <w:r w:rsidRPr="00CA5F25">
              <w:rPr>
                <w:rFonts w:asciiTheme="minorHAnsi" w:hAnsiTheme="minorHAnsi" w:cstheme="minorHAnsi"/>
              </w:rPr>
              <w:t>Internal Control</w:t>
            </w:r>
          </w:p>
        </w:tc>
        <w:tc>
          <w:tcPr>
            <w:tcW w:w="6469" w:type="dxa"/>
          </w:tcPr>
          <w:p w14:paraId="3B90F08D" w14:textId="20FF28A5" w:rsidR="00CA5F25" w:rsidRPr="00CA5F25" w:rsidRDefault="000B55E1" w:rsidP="000B55E1">
            <w:pPr>
              <w:pStyle w:val="NoSpacing"/>
              <w:rPr>
                <w:rFonts w:asciiTheme="minorHAnsi" w:hAnsiTheme="minorHAnsi" w:cstheme="minorHAnsi"/>
              </w:rPr>
            </w:pPr>
            <w:r>
              <w:rPr>
                <w:rFonts w:asciiTheme="minorHAnsi" w:hAnsiTheme="minorHAnsi" w:cstheme="minorHAnsi"/>
              </w:rPr>
              <w:t>Internal Control processes were reviewed at the February Policy &amp; Finance Committee following the Interim Internal Audit report. A formal checklist is being created and all Cllrs are being encouraged to participate in Internal Control</w:t>
            </w:r>
          </w:p>
        </w:tc>
      </w:tr>
      <w:tr w:rsidR="00027654" w14:paraId="707881DC" w14:textId="77777777" w:rsidTr="00621482">
        <w:tc>
          <w:tcPr>
            <w:tcW w:w="2547" w:type="dxa"/>
          </w:tcPr>
          <w:p w14:paraId="55D14B90" w14:textId="77777777" w:rsidR="00027654" w:rsidRPr="008E2DDE" w:rsidRDefault="00027654" w:rsidP="00C308D2">
            <w:pPr>
              <w:pStyle w:val="NoSpacing"/>
              <w:rPr>
                <w:rFonts w:asciiTheme="minorHAnsi" w:hAnsiTheme="minorHAnsi" w:cstheme="minorHAnsi"/>
              </w:rPr>
            </w:pPr>
            <w:r w:rsidRPr="008E2DDE">
              <w:rPr>
                <w:rFonts w:asciiTheme="minorHAnsi" w:hAnsiTheme="minorHAnsi" w:cstheme="minorHAnsi"/>
              </w:rPr>
              <w:t>Minutes of Meetings</w:t>
            </w:r>
          </w:p>
        </w:tc>
        <w:tc>
          <w:tcPr>
            <w:tcW w:w="6469" w:type="dxa"/>
          </w:tcPr>
          <w:p w14:paraId="594CC042" w14:textId="76B86140" w:rsidR="008E2DDE" w:rsidRPr="008E2DDE" w:rsidRDefault="00027654" w:rsidP="00D06953">
            <w:pPr>
              <w:pStyle w:val="NoSpacing"/>
              <w:rPr>
                <w:rFonts w:asciiTheme="minorHAnsi" w:hAnsiTheme="minorHAnsi" w:cstheme="minorHAnsi"/>
              </w:rPr>
            </w:pPr>
            <w:r w:rsidRPr="008E2DDE">
              <w:rPr>
                <w:rFonts w:asciiTheme="minorHAnsi" w:hAnsiTheme="minorHAnsi" w:cstheme="minorHAnsi"/>
              </w:rPr>
              <w:t>Minutes were reviewed and no issues were identified</w:t>
            </w:r>
          </w:p>
        </w:tc>
      </w:tr>
      <w:tr w:rsidR="009F57FC" w14:paraId="4B91DF7D" w14:textId="77777777" w:rsidTr="00621482">
        <w:tc>
          <w:tcPr>
            <w:tcW w:w="2547" w:type="dxa"/>
          </w:tcPr>
          <w:p w14:paraId="1DC162E8" w14:textId="170339AF" w:rsidR="009F57FC" w:rsidRPr="008E2DDE" w:rsidRDefault="009F57FC" w:rsidP="00C308D2">
            <w:pPr>
              <w:pStyle w:val="NoSpacing"/>
              <w:rPr>
                <w:rFonts w:asciiTheme="minorHAnsi" w:hAnsiTheme="minorHAnsi" w:cstheme="minorHAnsi"/>
              </w:rPr>
            </w:pPr>
            <w:r>
              <w:rPr>
                <w:rFonts w:asciiTheme="minorHAnsi" w:hAnsiTheme="minorHAnsi" w:cstheme="minorHAnsi"/>
              </w:rPr>
              <w:t>PAYE</w:t>
            </w:r>
          </w:p>
        </w:tc>
        <w:tc>
          <w:tcPr>
            <w:tcW w:w="6469" w:type="dxa"/>
          </w:tcPr>
          <w:p w14:paraId="1EFC2E88" w14:textId="0A46E6F7" w:rsidR="009F57FC" w:rsidRPr="008E2DDE" w:rsidRDefault="009F57FC" w:rsidP="00D06953">
            <w:pPr>
              <w:pStyle w:val="NoSpacing"/>
              <w:rPr>
                <w:rFonts w:asciiTheme="minorHAnsi" w:hAnsiTheme="minorHAnsi" w:cstheme="minorHAnsi"/>
              </w:rPr>
            </w:pPr>
            <w:r>
              <w:rPr>
                <w:rFonts w:asciiTheme="minorHAnsi" w:hAnsiTheme="minorHAnsi" w:cstheme="minorHAnsi"/>
              </w:rPr>
              <w:t>Payments to HMRC are being paid monthly and are following correct procedures</w:t>
            </w:r>
          </w:p>
        </w:tc>
      </w:tr>
      <w:tr w:rsidR="008A19E9" w14:paraId="5FDDD3B0" w14:textId="77777777" w:rsidTr="00621482">
        <w:tc>
          <w:tcPr>
            <w:tcW w:w="2547" w:type="dxa"/>
          </w:tcPr>
          <w:p w14:paraId="2182C46E" w14:textId="600DA580" w:rsidR="008A19E9" w:rsidRPr="008E2DDE" w:rsidRDefault="008A19E9" w:rsidP="00C308D2">
            <w:pPr>
              <w:pStyle w:val="NoSpacing"/>
              <w:rPr>
                <w:rFonts w:asciiTheme="minorHAnsi" w:hAnsiTheme="minorHAnsi" w:cstheme="minorHAnsi"/>
              </w:rPr>
            </w:pPr>
            <w:r w:rsidRPr="008E2DDE">
              <w:rPr>
                <w:rFonts w:asciiTheme="minorHAnsi" w:hAnsiTheme="minorHAnsi" w:cstheme="minorHAnsi"/>
              </w:rPr>
              <w:t>Precept</w:t>
            </w:r>
          </w:p>
        </w:tc>
        <w:tc>
          <w:tcPr>
            <w:tcW w:w="6469" w:type="dxa"/>
          </w:tcPr>
          <w:p w14:paraId="30B66217" w14:textId="251B9713" w:rsidR="008A19E9" w:rsidRPr="008E2DDE" w:rsidRDefault="008E2DDE" w:rsidP="00C308D2">
            <w:pPr>
              <w:pStyle w:val="NoSpacing"/>
              <w:rPr>
                <w:rFonts w:asciiTheme="minorHAnsi" w:hAnsiTheme="minorHAnsi" w:cstheme="minorHAnsi"/>
              </w:rPr>
            </w:pPr>
            <w:r>
              <w:rPr>
                <w:rFonts w:asciiTheme="minorHAnsi" w:hAnsiTheme="minorHAnsi" w:cstheme="minorHAnsi"/>
              </w:rPr>
              <w:t xml:space="preserve">The Town Council </w:t>
            </w:r>
            <w:r w:rsidR="00D61320">
              <w:rPr>
                <w:rFonts w:asciiTheme="minorHAnsi" w:hAnsiTheme="minorHAnsi" w:cstheme="minorHAnsi"/>
              </w:rPr>
              <w:t>agreed a Precept Demand at the January Town Council meeting</w:t>
            </w:r>
          </w:p>
        </w:tc>
      </w:tr>
      <w:tr w:rsidR="00027654" w14:paraId="5C2EE3A1" w14:textId="77777777" w:rsidTr="00621482">
        <w:tc>
          <w:tcPr>
            <w:tcW w:w="2547" w:type="dxa"/>
          </w:tcPr>
          <w:p w14:paraId="5A1AC59D" w14:textId="77777777" w:rsidR="00027654" w:rsidRPr="008E2DDE" w:rsidRDefault="00027654" w:rsidP="00C308D2">
            <w:pPr>
              <w:pStyle w:val="NoSpacing"/>
              <w:rPr>
                <w:rFonts w:asciiTheme="minorHAnsi" w:hAnsiTheme="minorHAnsi" w:cstheme="minorHAnsi"/>
              </w:rPr>
            </w:pPr>
            <w:r w:rsidRPr="008E2DDE">
              <w:rPr>
                <w:rFonts w:asciiTheme="minorHAnsi" w:hAnsiTheme="minorHAnsi" w:cstheme="minorHAnsi"/>
              </w:rPr>
              <w:t>Risk Assessments</w:t>
            </w:r>
          </w:p>
        </w:tc>
        <w:tc>
          <w:tcPr>
            <w:tcW w:w="6469" w:type="dxa"/>
          </w:tcPr>
          <w:p w14:paraId="501BF911" w14:textId="1A77CA6A" w:rsidR="00027654" w:rsidRPr="00543845" w:rsidRDefault="00027654" w:rsidP="00C308D2">
            <w:pPr>
              <w:pStyle w:val="NoSpacing"/>
              <w:rPr>
                <w:rFonts w:asciiTheme="minorHAnsi" w:hAnsiTheme="minorHAnsi" w:cstheme="minorHAnsi"/>
                <w:color w:val="FF0000"/>
              </w:rPr>
            </w:pPr>
            <w:r w:rsidRPr="00A000E3">
              <w:rPr>
                <w:rFonts w:asciiTheme="minorHAnsi" w:hAnsiTheme="minorHAnsi" w:cstheme="minorHAnsi"/>
              </w:rPr>
              <w:t xml:space="preserve">The Town Council’s Risk Assessments </w:t>
            </w:r>
            <w:r w:rsidR="00A000E3" w:rsidRPr="00A000E3">
              <w:rPr>
                <w:rFonts w:asciiTheme="minorHAnsi" w:hAnsiTheme="minorHAnsi" w:cstheme="minorHAnsi"/>
              </w:rPr>
              <w:t>have been reviewed to ensure that due consideration has been given to identify the key and significant risks. The document is confirmed to be reasonable, and safeguards are in place which are appropriate</w:t>
            </w:r>
          </w:p>
        </w:tc>
      </w:tr>
      <w:tr w:rsidR="00027654" w14:paraId="6DC6A9FE" w14:textId="77777777" w:rsidTr="00621482">
        <w:tc>
          <w:tcPr>
            <w:tcW w:w="2547" w:type="dxa"/>
          </w:tcPr>
          <w:p w14:paraId="0DDF8B42" w14:textId="77777777" w:rsidR="00027654" w:rsidRPr="00B858D7" w:rsidRDefault="00027654" w:rsidP="00C308D2">
            <w:pPr>
              <w:pStyle w:val="NoSpacing"/>
              <w:rPr>
                <w:rFonts w:asciiTheme="minorHAnsi" w:hAnsiTheme="minorHAnsi" w:cstheme="minorHAnsi"/>
              </w:rPr>
            </w:pPr>
            <w:r w:rsidRPr="00B858D7">
              <w:rPr>
                <w:rFonts w:asciiTheme="minorHAnsi" w:hAnsiTheme="minorHAnsi" w:cstheme="minorHAnsi"/>
              </w:rPr>
              <w:t>Trial Balance</w:t>
            </w:r>
          </w:p>
        </w:tc>
        <w:tc>
          <w:tcPr>
            <w:tcW w:w="6469" w:type="dxa"/>
          </w:tcPr>
          <w:p w14:paraId="53EE0871" w14:textId="5C89C0AD" w:rsidR="00027654" w:rsidRPr="00B858D7" w:rsidRDefault="00027654" w:rsidP="00C308D2">
            <w:pPr>
              <w:pStyle w:val="NoSpacing"/>
              <w:rPr>
                <w:rFonts w:asciiTheme="minorHAnsi" w:hAnsiTheme="minorHAnsi" w:cstheme="minorHAnsi"/>
              </w:rPr>
            </w:pPr>
            <w:r w:rsidRPr="00B858D7">
              <w:rPr>
                <w:rFonts w:asciiTheme="minorHAnsi" w:hAnsiTheme="minorHAnsi" w:cstheme="minorHAnsi"/>
              </w:rPr>
              <w:t xml:space="preserve">The Trial balance was reviewed. Balances were confirmed to bank account statements for </w:t>
            </w:r>
            <w:r w:rsidR="00DF1340">
              <w:rPr>
                <w:rFonts w:asciiTheme="minorHAnsi" w:hAnsiTheme="minorHAnsi" w:cstheme="minorHAnsi"/>
              </w:rPr>
              <w:t>31</w:t>
            </w:r>
            <w:r w:rsidR="00DF1340" w:rsidRPr="00DF1340">
              <w:rPr>
                <w:rFonts w:asciiTheme="minorHAnsi" w:hAnsiTheme="minorHAnsi" w:cstheme="minorHAnsi"/>
                <w:vertAlign w:val="superscript"/>
              </w:rPr>
              <w:t>st</w:t>
            </w:r>
            <w:r w:rsidR="00DF1340">
              <w:rPr>
                <w:rFonts w:asciiTheme="minorHAnsi" w:hAnsiTheme="minorHAnsi" w:cstheme="minorHAnsi"/>
              </w:rPr>
              <w:t xml:space="preserve"> March 2022</w:t>
            </w:r>
            <w:r w:rsidRPr="00B858D7">
              <w:rPr>
                <w:rFonts w:asciiTheme="minorHAnsi" w:hAnsiTheme="minorHAnsi" w:cstheme="minorHAnsi"/>
              </w:rPr>
              <w:t xml:space="preserve"> and VAT was verified.</w:t>
            </w:r>
          </w:p>
        </w:tc>
      </w:tr>
      <w:tr w:rsidR="00027654" w14:paraId="01C5BD38" w14:textId="77777777" w:rsidTr="00621482">
        <w:tc>
          <w:tcPr>
            <w:tcW w:w="2547" w:type="dxa"/>
          </w:tcPr>
          <w:p w14:paraId="79747865" w14:textId="77777777" w:rsidR="00027654" w:rsidRPr="00543845" w:rsidRDefault="00027654" w:rsidP="00C308D2">
            <w:pPr>
              <w:pStyle w:val="NoSpacing"/>
              <w:rPr>
                <w:rFonts w:asciiTheme="minorHAnsi" w:hAnsiTheme="minorHAnsi" w:cstheme="minorHAnsi"/>
                <w:color w:val="FF0000"/>
              </w:rPr>
            </w:pPr>
            <w:r w:rsidRPr="00A000E3">
              <w:rPr>
                <w:rFonts w:asciiTheme="minorHAnsi" w:hAnsiTheme="minorHAnsi" w:cstheme="minorHAnsi"/>
              </w:rPr>
              <w:t>VAT return</w:t>
            </w:r>
          </w:p>
        </w:tc>
        <w:tc>
          <w:tcPr>
            <w:tcW w:w="6469" w:type="dxa"/>
          </w:tcPr>
          <w:p w14:paraId="043BB61A" w14:textId="009D0939" w:rsidR="00027654" w:rsidRPr="00543845" w:rsidRDefault="00027654" w:rsidP="00C308D2">
            <w:pPr>
              <w:pStyle w:val="NoSpacing"/>
              <w:rPr>
                <w:rFonts w:asciiTheme="minorHAnsi" w:hAnsiTheme="minorHAnsi" w:cstheme="minorHAnsi"/>
                <w:color w:val="FF0000"/>
              </w:rPr>
            </w:pPr>
            <w:r w:rsidRPr="00A000E3">
              <w:rPr>
                <w:rFonts w:asciiTheme="minorHAnsi" w:hAnsiTheme="minorHAnsi" w:cstheme="minorHAnsi"/>
              </w:rPr>
              <w:t>The balance as at 31</w:t>
            </w:r>
            <w:r w:rsidRPr="00A000E3">
              <w:rPr>
                <w:rFonts w:asciiTheme="minorHAnsi" w:hAnsiTheme="minorHAnsi" w:cstheme="minorHAnsi"/>
                <w:vertAlign w:val="superscript"/>
              </w:rPr>
              <w:t>st</w:t>
            </w:r>
            <w:r w:rsidRPr="00A000E3">
              <w:rPr>
                <w:rFonts w:asciiTheme="minorHAnsi" w:hAnsiTheme="minorHAnsi" w:cstheme="minorHAnsi"/>
              </w:rPr>
              <w:t xml:space="preserve"> </w:t>
            </w:r>
            <w:r w:rsidR="00900E10">
              <w:rPr>
                <w:rFonts w:asciiTheme="minorHAnsi" w:hAnsiTheme="minorHAnsi" w:cstheme="minorHAnsi"/>
              </w:rPr>
              <w:t>March</w:t>
            </w:r>
            <w:r w:rsidRPr="00A000E3">
              <w:rPr>
                <w:rFonts w:asciiTheme="minorHAnsi" w:hAnsiTheme="minorHAnsi" w:cstheme="minorHAnsi"/>
              </w:rPr>
              <w:t xml:space="preserve"> 202</w:t>
            </w:r>
            <w:r w:rsidR="00900E10">
              <w:rPr>
                <w:rFonts w:asciiTheme="minorHAnsi" w:hAnsiTheme="minorHAnsi" w:cstheme="minorHAnsi"/>
              </w:rPr>
              <w:t>2</w:t>
            </w:r>
            <w:r w:rsidRPr="00A000E3">
              <w:rPr>
                <w:rFonts w:asciiTheme="minorHAnsi" w:hAnsiTheme="minorHAnsi" w:cstheme="minorHAnsi"/>
              </w:rPr>
              <w:t>. No errors were observed</w:t>
            </w:r>
          </w:p>
        </w:tc>
      </w:tr>
      <w:tr w:rsidR="00801CEB" w14:paraId="3335B763" w14:textId="77777777" w:rsidTr="00621482">
        <w:tc>
          <w:tcPr>
            <w:tcW w:w="2547" w:type="dxa"/>
          </w:tcPr>
          <w:p w14:paraId="75FC24E7" w14:textId="6C4FB7A1" w:rsidR="00801CEB" w:rsidRPr="00A000E3" w:rsidRDefault="00801CEB" w:rsidP="00C308D2">
            <w:pPr>
              <w:pStyle w:val="NoSpacing"/>
              <w:rPr>
                <w:rFonts w:asciiTheme="minorHAnsi" w:hAnsiTheme="minorHAnsi" w:cstheme="minorHAnsi"/>
              </w:rPr>
            </w:pPr>
            <w:r>
              <w:rPr>
                <w:rFonts w:asciiTheme="minorHAnsi" w:hAnsiTheme="minorHAnsi" w:cstheme="minorHAnsi"/>
              </w:rPr>
              <w:t>Website</w:t>
            </w:r>
          </w:p>
        </w:tc>
        <w:tc>
          <w:tcPr>
            <w:tcW w:w="6469" w:type="dxa"/>
          </w:tcPr>
          <w:p w14:paraId="303FA385" w14:textId="2351AFCA" w:rsidR="00D06953" w:rsidRDefault="00801CEB" w:rsidP="00C308D2">
            <w:pPr>
              <w:pStyle w:val="NoSpacing"/>
              <w:rPr>
                <w:rFonts w:asciiTheme="minorHAnsi" w:hAnsiTheme="minorHAnsi" w:cstheme="minorHAnsi"/>
                <w:b/>
                <w:bCs/>
              </w:rPr>
            </w:pPr>
            <w:r w:rsidRPr="00D06953">
              <w:rPr>
                <w:rFonts w:asciiTheme="minorHAnsi" w:hAnsiTheme="minorHAnsi" w:cstheme="minorHAnsi"/>
                <w:b/>
                <w:bCs/>
              </w:rPr>
              <w:t xml:space="preserve">NOTE: the Town Council needs to ensure the council’s website complies with the </w:t>
            </w:r>
            <w:r w:rsidR="00D06953" w:rsidRPr="00D06953">
              <w:rPr>
                <w:rFonts w:asciiTheme="minorHAnsi" w:hAnsiTheme="minorHAnsi" w:cstheme="minorHAnsi"/>
                <w:b/>
                <w:bCs/>
              </w:rPr>
              <w:t>Transparency</w:t>
            </w:r>
            <w:r w:rsidRPr="00D06953">
              <w:rPr>
                <w:rFonts w:asciiTheme="minorHAnsi" w:hAnsiTheme="minorHAnsi" w:cstheme="minorHAnsi"/>
                <w:b/>
                <w:bCs/>
              </w:rPr>
              <w:t xml:space="preserve"> Code </w:t>
            </w:r>
            <w:r w:rsidR="009F57FC">
              <w:rPr>
                <w:rFonts w:asciiTheme="minorHAnsi" w:hAnsiTheme="minorHAnsi" w:cstheme="minorHAnsi"/>
                <w:b/>
                <w:bCs/>
              </w:rPr>
              <w:t xml:space="preserve">2015 </w:t>
            </w:r>
            <w:r w:rsidRPr="00D06953">
              <w:rPr>
                <w:rFonts w:asciiTheme="minorHAnsi" w:hAnsiTheme="minorHAnsi" w:cstheme="minorHAnsi"/>
                <w:b/>
                <w:bCs/>
              </w:rPr>
              <w:t>for larger councils</w:t>
            </w:r>
            <w:r w:rsidR="00D06953">
              <w:rPr>
                <w:rFonts w:asciiTheme="minorHAnsi" w:hAnsiTheme="minorHAnsi" w:cstheme="minorHAnsi"/>
                <w:b/>
                <w:bCs/>
              </w:rPr>
              <w:t xml:space="preserve">. </w:t>
            </w:r>
          </w:p>
          <w:p w14:paraId="6520B7BD" w14:textId="3F5797FF" w:rsidR="00D06953" w:rsidRPr="00D06953" w:rsidRDefault="00D06953" w:rsidP="00C308D2">
            <w:pPr>
              <w:pStyle w:val="NoSpacing"/>
              <w:rPr>
                <w:rFonts w:asciiTheme="minorHAnsi" w:hAnsiTheme="minorHAnsi" w:cstheme="minorHAnsi"/>
                <w:b/>
                <w:bCs/>
              </w:rPr>
            </w:pPr>
            <w:r>
              <w:rPr>
                <w:rFonts w:asciiTheme="minorHAnsi" w:hAnsiTheme="minorHAnsi" w:cstheme="minorHAnsi"/>
                <w:b/>
                <w:bCs/>
              </w:rPr>
              <w:t>The Finance pages have not been updated since September 2021</w:t>
            </w:r>
          </w:p>
        </w:tc>
      </w:tr>
    </w:tbl>
    <w:p w14:paraId="1B247378" w14:textId="77777777" w:rsidR="00621482" w:rsidRPr="005537E2" w:rsidRDefault="00621482" w:rsidP="00C308D2">
      <w:pPr>
        <w:pStyle w:val="NoSpacing"/>
        <w:rPr>
          <w:rFonts w:asciiTheme="minorHAnsi" w:hAnsiTheme="minorHAnsi" w:cstheme="minorHAnsi"/>
        </w:rPr>
      </w:pPr>
    </w:p>
    <w:p w14:paraId="0CD9A01A" w14:textId="01F16988" w:rsidR="004D03EC" w:rsidRPr="008A19E9" w:rsidRDefault="008A19E9" w:rsidP="00C308D2">
      <w:pPr>
        <w:pStyle w:val="NoSpacing"/>
        <w:rPr>
          <w:rFonts w:asciiTheme="minorHAnsi" w:hAnsiTheme="minorHAnsi" w:cstheme="minorHAnsi"/>
          <w:b/>
          <w:bCs/>
        </w:rPr>
      </w:pPr>
      <w:r w:rsidRPr="008A19E9">
        <w:rPr>
          <w:rFonts w:asciiTheme="minorHAnsi" w:hAnsiTheme="minorHAnsi" w:cstheme="minorHAnsi"/>
          <w:b/>
          <w:bCs/>
        </w:rPr>
        <w:t>Summary</w:t>
      </w:r>
    </w:p>
    <w:p w14:paraId="1DC3776A" w14:textId="77777777" w:rsidR="0076607E" w:rsidRDefault="0076607E" w:rsidP="00C308D2">
      <w:pPr>
        <w:pStyle w:val="NoSpacing"/>
        <w:rPr>
          <w:rFonts w:asciiTheme="minorHAnsi" w:hAnsiTheme="minorHAnsi" w:cstheme="minorHAnsi"/>
        </w:rPr>
      </w:pPr>
    </w:p>
    <w:p w14:paraId="7A8EA4C5" w14:textId="77777777" w:rsidR="00DF1340" w:rsidRDefault="00DF1340" w:rsidP="00DF1340">
      <w:pPr>
        <w:pStyle w:val="NoSpacing"/>
        <w:rPr>
          <w:rFonts w:asciiTheme="minorHAnsi" w:hAnsiTheme="minorHAnsi" w:cstheme="minorHAnsi"/>
        </w:rPr>
      </w:pPr>
      <w:r>
        <w:rPr>
          <w:rFonts w:asciiTheme="minorHAnsi" w:hAnsiTheme="minorHAnsi" w:cstheme="minorHAnsi"/>
        </w:rPr>
        <w:t>In my opinion the Council is keeping their books and records in very good order and is following due process in all elements.</w:t>
      </w:r>
    </w:p>
    <w:p w14:paraId="4D541978" w14:textId="77777777" w:rsidR="00DF1340" w:rsidRDefault="00DF1340" w:rsidP="00DF1340">
      <w:pPr>
        <w:pStyle w:val="NoSpacing"/>
        <w:rPr>
          <w:rFonts w:asciiTheme="minorHAnsi" w:hAnsiTheme="minorHAnsi" w:cstheme="minorHAnsi"/>
        </w:rPr>
      </w:pPr>
      <w:r>
        <w:rPr>
          <w:rFonts w:asciiTheme="minorHAnsi" w:hAnsiTheme="minorHAnsi" w:cstheme="minorHAnsi"/>
        </w:rPr>
        <w:t>I wish the Town Council a very successful 2022/2023 and look forward to returning later in the year to carry out the Interim Internal Audit.</w:t>
      </w:r>
    </w:p>
    <w:p w14:paraId="0F267F3A" w14:textId="52EB8DFD" w:rsidR="00FB5D37" w:rsidRDefault="00FB5D37" w:rsidP="00C308D2">
      <w:pPr>
        <w:pStyle w:val="NoSpacing"/>
        <w:rPr>
          <w:rFonts w:asciiTheme="minorHAnsi" w:hAnsiTheme="minorHAnsi" w:cstheme="minorHAnsi"/>
        </w:rPr>
      </w:pPr>
    </w:p>
    <w:p w14:paraId="31B30C69" w14:textId="77777777" w:rsidR="00FB5D37" w:rsidRPr="005537E2" w:rsidRDefault="00FB5D37" w:rsidP="00C308D2">
      <w:pPr>
        <w:pStyle w:val="NoSpacing"/>
        <w:rPr>
          <w:rFonts w:asciiTheme="minorHAnsi" w:hAnsiTheme="minorHAnsi" w:cstheme="minorHAnsi"/>
        </w:rPr>
      </w:pPr>
    </w:p>
    <w:p w14:paraId="13DFC2BD" w14:textId="77777777" w:rsidR="00DB516E" w:rsidRPr="005537E2" w:rsidRDefault="00DB516E" w:rsidP="00C308D2">
      <w:pPr>
        <w:pStyle w:val="NoSpacing"/>
        <w:rPr>
          <w:rFonts w:asciiTheme="minorHAnsi" w:hAnsiTheme="minorHAnsi" w:cstheme="minorHAnsi"/>
        </w:rPr>
      </w:pPr>
      <w:r w:rsidRPr="005537E2">
        <w:rPr>
          <w:rFonts w:asciiTheme="minorHAnsi" w:hAnsiTheme="minorHAnsi" w:cstheme="minorHAnsi"/>
        </w:rPr>
        <w:t>Yours sincerely,</w:t>
      </w:r>
    </w:p>
    <w:p w14:paraId="0A3E9678" w14:textId="77777777" w:rsidR="00DB516E" w:rsidRPr="005537E2" w:rsidRDefault="00DB516E" w:rsidP="00C308D2">
      <w:pPr>
        <w:pStyle w:val="NoSpacing"/>
        <w:rPr>
          <w:rFonts w:asciiTheme="minorHAnsi" w:hAnsiTheme="minorHAnsi" w:cstheme="minorHAnsi"/>
        </w:rPr>
      </w:pPr>
    </w:p>
    <w:p w14:paraId="1E1F29DA" w14:textId="77777777" w:rsidR="00DB516E" w:rsidRPr="005537E2" w:rsidRDefault="00DB516E" w:rsidP="00C308D2">
      <w:pPr>
        <w:pStyle w:val="NoSpacing"/>
        <w:rPr>
          <w:rFonts w:asciiTheme="minorHAnsi" w:hAnsiTheme="minorHAnsi" w:cstheme="minorHAnsi"/>
        </w:rPr>
      </w:pPr>
    </w:p>
    <w:p w14:paraId="2C9542C6" w14:textId="77777777" w:rsidR="00DB516E" w:rsidRPr="005537E2" w:rsidRDefault="00DB516E" w:rsidP="00C308D2">
      <w:pPr>
        <w:pStyle w:val="NoSpacing"/>
        <w:rPr>
          <w:rFonts w:asciiTheme="minorHAnsi" w:hAnsiTheme="minorHAnsi" w:cstheme="minorHAnsi"/>
        </w:rPr>
      </w:pPr>
    </w:p>
    <w:p w14:paraId="752F70B5" w14:textId="6BD65F41" w:rsidR="00DB516E" w:rsidRPr="005537E2" w:rsidRDefault="005537E2" w:rsidP="00C308D2">
      <w:pPr>
        <w:pStyle w:val="NoSpacing"/>
        <w:rPr>
          <w:rFonts w:asciiTheme="minorHAnsi" w:hAnsiTheme="minorHAnsi" w:cstheme="minorHAnsi"/>
        </w:rPr>
      </w:pPr>
      <w:r w:rsidRPr="005537E2">
        <w:rPr>
          <w:rFonts w:asciiTheme="minorHAnsi" w:hAnsiTheme="minorHAnsi" w:cstheme="minorHAnsi"/>
          <w:noProof/>
          <w:lang w:eastAsia="en-GB"/>
        </w:rPr>
        <w:drawing>
          <wp:inline distT="0" distB="0" distL="0" distR="0" wp14:anchorId="1A111FED" wp14:editId="1E027C60">
            <wp:extent cx="2506721" cy="885825"/>
            <wp:effectExtent l="19050" t="0" r="787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4000" b="58740"/>
                    <a:stretch>
                      <a:fillRect/>
                    </a:stretch>
                  </pic:blipFill>
                  <pic:spPr bwMode="auto">
                    <a:xfrm>
                      <a:off x="0" y="0"/>
                      <a:ext cx="2517608" cy="889672"/>
                    </a:xfrm>
                    <a:prstGeom prst="rect">
                      <a:avLst/>
                    </a:prstGeom>
                    <a:noFill/>
                    <a:ln w="9525">
                      <a:noFill/>
                      <a:miter lim="800000"/>
                      <a:headEnd/>
                      <a:tailEnd/>
                    </a:ln>
                  </pic:spPr>
                </pic:pic>
              </a:graphicData>
            </a:graphic>
          </wp:inline>
        </w:drawing>
      </w:r>
    </w:p>
    <w:p w14:paraId="3803B43C" w14:textId="77777777" w:rsidR="00310392" w:rsidRPr="005537E2" w:rsidRDefault="00310392" w:rsidP="00C308D2">
      <w:pPr>
        <w:pStyle w:val="NoSpacing"/>
        <w:rPr>
          <w:rFonts w:asciiTheme="minorHAnsi" w:hAnsiTheme="minorHAnsi" w:cstheme="minorHAnsi"/>
        </w:rPr>
      </w:pPr>
    </w:p>
    <w:p w14:paraId="01262B9B" w14:textId="77777777" w:rsidR="00310392" w:rsidRPr="005537E2" w:rsidRDefault="00310392" w:rsidP="00C308D2">
      <w:pPr>
        <w:pStyle w:val="NoSpacing"/>
        <w:rPr>
          <w:rFonts w:asciiTheme="minorHAnsi" w:hAnsiTheme="minorHAnsi" w:cstheme="minorHAnsi"/>
        </w:rPr>
      </w:pPr>
    </w:p>
    <w:p w14:paraId="30638990" w14:textId="77777777" w:rsidR="00DB516E" w:rsidRPr="005537E2" w:rsidRDefault="00DB516E" w:rsidP="00C308D2">
      <w:pPr>
        <w:pStyle w:val="NoSpacing"/>
        <w:rPr>
          <w:rFonts w:asciiTheme="minorHAnsi" w:hAnsiTheme="minorHAnsi" w:cstheme="minorHAnsi"/>
        </w:rPr>
      </w:pPr>
    </w:p>
    <w:p w14:paraId="75A13240" w14:textId="53A9DED5" w:rsidR="00DB516E" w:rsidRPr="005537E2" w:rsidRDefault="008A43FB" w:rsidP="00C308D2">
      <w:pPr>
        <w:pStyle w:val="NoSpacing"/>
        <w:rPr>
          <w:rFonts w:asciiTheme="minorHAnsi" w:hAnsiTheme="minorHAnsi" w:cstheme="minorHAnsi"/>
        </w:rPr>
      </w:pPr>
      <w:r w:rsidRPr="005537E2">
        <w:rPr>
          <w:rFonts w:asciiTheme="minorHAnsi" w:hAnsiTheme="minorHAnsi" w:cstheme="minorHAnsi"/>
        </w:rPr>
        <w:t>Mrs Tina L Charteress</w:t>
      </w:r>
    </w:p>
    <w:p w14:paraId="4411BDE5" w14:textId="77777777" w:rsidR="00DB516E" w:rsidRPr="005537E2" w:rsidRDefault="00DB516E" w:rsidP="00C308D2">
      <w:pPr>
        <w:pStyle w:val="NoSpacing"/>
        <w:rPr>
          <w:rFonts w:asciiTheme="minorHAnsi" w:hAnsiTheme="minorHAnsi" w:cstheme="minorHAnsi"/>
        </w:rPr>
      </w:pPr>
      <w:r w:rsidRPr="005537E2">
        <w:rPr>
          <w:rFonts w:asciiTheme="minorHAnsi" w:hAnsiTheme="minorHAnsi" w:cstheme="minorHAnsi"/>
        </w:rPr>
        <w:t>Internal Auditor to the Council</w:t>
      </w:r>
    </w:p>
    <w:p w14:paraId="77AEC6FD" w14:textId="6B25A2EE" w:rsidR="00310392" w:rsidRPr="005537E2" w:rsidRDefault="008A43FB" w:rsidP="00C308D2">
      <w:pPr>
        <w:pStyle w:val="NoSpacing"/>
        <w:rPr>
          <w:rFonts w:asciiTheme="minorHAnsi" w:hAnsiTheme="minorHAnsi" w:cstheme="minorHAnsi"/>
        </w:rPr>
      </w:pPr>
      <w:r w:rsidRPr="005537E2">
        <w:rPr>
          <w:rFonts w:asciiTheme="minorHAnsi" w:hAnsiTheme="minorHAnsi" w:cstheme="minorHAnsi"/>
        </w:rPr>
        <w:t>07818 084231</w:t>
      </w:r>
    </w:p>
    <w:p w14:paraId="710C3F05" w14:textId="5A5161D9" w:rsidR="00437B45" w:rsidRPr="00DF1340" w:rsidRDefault="00E24438" w:rsidP="006F6228">
      <w:pPr>
        <w:pStyle w:val="NoSpacing"/>
        <w:rPr>
          <w:rFonts w:asciiTheme="minorHAnsi" w:hAnsiTheme="minorHAnsi" w:cstheme="minorHAnsi"/>
        </w:rPr>
      </w:pPr>
      <w:hyperlink r:id="rId11" w:history="1">
        <w:r w:rsidR="00DF1340" w:rsidRPr="00DF1340">
          <w:rPr>
            <w:rStyle w:val="Hyperlink"/>
            <w:rFonts w:asciiTheme="minorHAnsi" w:hAnsiTheme="minorHAnsi" w:cstheme="minorHAnsi"/>
            <w:color w:val="auto"/>
            <w:u w:val="none"/>
          </w:rPr>
          <w:t>tcharteress@gmail.com</w:t>
        </w:r>
      </w:hyperlink>
    </w:p>
    <w:p w14:paraId="14448E56" w14:textId="1544F6C0" w:rsidR="00DF1340" w:rsidRDefault="00DF1340">
      <w:pPr>
        <w:spacing w:after="0" w:line="240" w:lineRule="auto"/>
        <w:rPr>
          <w:rFonts w:asciiTheme="minorHAnsi" w:hAnsiTheme="minorHAnsi" w:cstheme="minorHAnsi"/>
        </w:rPr>
      </w:pPr>
      <w:r>
        <w:rPr>
          <w:rFonts w:asciiTheme="minorHAnsi" w:hAnsiTheme="minorHAnsi" w:cstheme="minorHAnsi"/>
        </w:rPr>
        <w:br w:type="page"/>
      </w:r>
    </w:p>
    <w:p w14:paraId="526DBBDB" w14:textId="77777777" w:rsidR="00DF1340" w:rsidRPr="007C0087" w:rsidRDefault="00DF1340" w:rsidP="00DF1340">
      <w:pPr>
        <w:pStyle w:val="NoSpacing"/>
        <w:rPr>
          <w:rFonts w:asciiTheme="minorHAnsi" w:hAnsiTheme="minorHAnsi" w:cstheme="minorHAnsi"/>
        </w:rPr>
      </w:pPr>
      <w:r w:rsidRPr="007C0087">
        <w:rPr>
          <w:rFonts w:asciiTheme="minorHAnsi" w:hAnsiTheme="minorHAnsi" w:cstheme="minorHAnsi"/>
        </w:rPr>
        <w:lastRenderedPageBreak/>
        <w:t>The figures submitted in the Annual Governance and Accountability Return are:</w:t>
      </w:r>
    </w:p>
    <w:p w14:paraId="56CC97B3" w14:textId="77777777" w:rsidR="00DF1340" w:rsidRPr="007C0087" w:rsidRDefault="00DF1340" w:rsidP="00DF1340">
      <w:pPr>
        <w:pStyle w:val="NoSpacing"/>
        <w:rPr>
          <w:rFonts w:asciiTheme="minorHAnsi" w:hAnsiTheme="minorHAnsi" w:cstheme="minorHAnsi"/>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DF1340" w:rsidRPr="007C0087" w14:paraId="709F33B0" w14:textId="77777777" w:rsidTr="00C7389B">
        <w:trPr>
          <w:trHeight w:val="20"/>
        </w:trPr>
        <w:tc>
          <w:tcPr>
            <w:tcW w:w="4111" w:type="dxa"/>
            <w:shd w:val="clear" w:color="auto" w:fill="auto"/>
            <w:tcMar>
              <w:top w:w="57" w:type="dxa"/>
              <w:left w:w="57" w:type="dxa"/>
              <w:bottom w:w="57" w:type="dxa"/>
              <w:right w:w="57" w:type="dxa"/>
            </w:tcMar>
            <w:vAlign w:val="center"/>
          </w:tcPr>
          <w:p w14:paraId="01E49163" w14:textId="77777777" w:rsidR="00DF1340" w:rsidRPr="007C0087" w:rsidRDefault="00DF1340" w:rsidP="00C7389B">
            <w:pPr>
              <w:spacing w:after="0" w:line="240" w:lineRule="auto"/>
              <w:rPr>
                <w:rFonts w:asciiTheme="minorHAnsi" w:hAnsiTheme="minorHAnsi" w:cstheme="minorHAnsi"/>
              </w:rPr>
            </w:pPr>
          </w:p>
        </w:tc>
        <w:tc>
          <w:tcPr>
            <w:tcW w:w="2693" w:type="dxa"/>
            <w:shd w:val="clear" w:color="auto" w:fill="auto"/>
            <w:vAlign w:val="center"/>
          </w:tcPr>
          <w:p w14:paraId="38AA30E6" w14:textId="77777777" w:rsidR="00DF1340" w:rsidRPr="007C0087" w:rsidRDefault="00DF1340" w:rsidP="00C7389B">
            <w:pPr>
              <w:spacing w:after="0" w:line="240" w:lineRule="auto"/>
              <w:jc w:val="center"/>
              <w:rPr>
                <w:rFonts w:asciiTheme="minorHAnsi" w:hAnsiTheme="minorHAnsi" w:cstheme="minorHAnsi"/>
                <w:b/>
              </w:rPr>
            </w:pPr>
            <w:r w:rsidRPr="007C0087">
              <w:rPr>
                <w:rFonts w:asciiTheme="minorHAnsi" w:hAnsiTheme="minorHAnsi" w:cstheme="minorHAnsi"/>
                <w:b/>
              </w:rPr>
              <w:t>Year ending</w:t>
            </w:r>
            <w:r w:rsidRPr="007C0087">
              <w:rPr>
                <w:rFonts w:asciiTheme="minorHAnsi" w:hAnsiTheme="minorHAnsi" w:cstheme="minorHAnsi"/>
                <w:b/>
              </w:rPr>
              <w:br/>
              <w:t>31 March 2021</w:t>
            </w:r>
          </w:p>
        </w:tc>
        <w:tc>
          <w:tcPr>
            <w:tcW w:w="2268" w:type="dxa"/>
            <w:shd w:val="clear" w:color="auto" w:fill="auto"/>
            <w:vAlign w:val="center"/>
          </w:tcPr>
          <w:p w14:paraId="7422A84B" w14:textId="77777777" w:rsidR="00DF1340" w:rsidRPr="007C0087" w:rsidRDefault="00DF1340" w:rsidP="00C7389B">
            <w:pPr>
              <w:spacing w:after="0" w:line="240" w:lineRule="auto"/>
              <w:jc w:val="center"/>
              <w:rPr>
                <w:rFonts w:asciiTheme="minorHAnsi" w:hAnsiTheme="minorHAnsi" w:cstheme="minorHAnsi"/>
                <w:b/>
              </w:rPr>
            </w:pPr>
            <w:r w:rsidRPr="007C0087">
              <w:rPr>
                <w:rFonts w:asciiTheme="minorHAnsi" w:hAnsiTheme="minorHAnsi" w:cstheme="minorHAnsi"/>
                <w:b/>
              </w:rPr>
              <w:t>Year ending</w:t>
            </w:r>
            <w:r w:rsidRPr="007C0087">
              <w:rPr>
                <w:rFonts w:asciiTheme="minorHAnsi" w:hAnsiTheme="minorHAnsi" w:cstheme="minorHAnsi"/>
                <w:b/>
              </w:rPr>
              <w:br/>
              <w:t>31 March 2022</w:t>
            </w:r>
          </w:p>
        </w:tc>
      </w:tr>
      <w:tr w:rsidR="00DF1340" w:rsidRPr="007C0087" w14:paraId="2924EE6E" w14:textId="77777777" w:rsidTr="00C7389B">
        <w:trPr>
          <w:trHeight w:val="428"/>
        </w:trPr>
        <w:tc>
          <w:tcPr>
            <w:tcW w:w="4111" w:type="dxa"/>
            <w:shd w:val="clear" w:color="auto" w:fill="auto"/>
            <w:tcMar>
              <w:top w:w="57" w:type="dxa"/>
              <w:left w:w="57" w:type="dxa"/>
              <w:bottom w:w="57" w:type="dxa"/>
              <w:right w:w="57" w:type="dxa"/>
            </w:tcMar>
            <w:vAlign w:val="center"/>
          </w:tcPr>
          <w:p w14:paraId="268EDD40"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Balances brought forward</w:t>
            </w:r>
          </w:p>
        </w:tc>
        <w:tc>
          <w:tcPr>
            <w:tcW w:w="2693" w:type="dxa"/>
            <w:shd w:val="clear" w:color="auto" w:fill="auto"/>
            <w:vAlign w:val="center"/>
          </w:tcPr>
          <w:p w14:paraId="51CAB2E5" w14:textId="157AAB73"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c>
          <w:tcPr>
            <w:tcW w:w="2268" w:type="dxa"/>
            <w:shd w:val="clear" w:color="auto" w:fill="auto"/>
            <w:vAlign w:val="center"/>
          </w:tcPr>
          <w:p w14:paraId="683DE271" w14:textId="527AE6F8"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75,186</w:t>
            </w:r>
          </w:p>
        </w:tc>
      </w:tr>
      <w:tr w:rsidR="00DF1340" w:rsidRPr="007C0087" w14:paraId="39FCD5D0" w14:textId="77777777" w:rsidTr="00C7389B">
        <w:trPr>
          <w:trHeight w:val="428"/>
        </w:trPr>
        <w:tc>
          <w:tcPr>
            <w:tcW w:w="4111" w:type="dxa"/>
            <w:shd w:val="clear" w:color="auto" w:fill="auto"/>
            <w:tcMar>
              <w:top w:w="57" w:type="dxa"/>
              <w:left w:w="57" w:type="dxa"/>
              <w:bottom w:w="57" w:type="dxa"/>
              <w:right w:w="57" w:type="dxa"/>
            </w:tcMar>
            <w:vAlign w:val="center"/>
          </w:tcPr>
          <w:p w14:paraId="08DBC296"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Annual precept</w:t>
            </w:r>
          </w:p>
        </w:tc>
        <w:tc>
          <w:tcPr>
            <w:tcW w:w="2693" w:type="dxa"/>
            <w:shd w:val="clear" w:color="auto" w:fill="auto"/>
            <w:vAlign w:val="center"/>
          </w:tcPr>
          <w:p w14:paraId="71C4B90D" w14:textId="1E101F6A"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c>
          <w:tcPr>
            <w:tcW w:w="2268" w:type="dxa"/>
            <w:shd w:val="clear" w:color="auto" w:fill="auto"/>
            <w:vAlign w:val="center"/>
          </w:tcPr>
          <w:p w14:paraId="22FC0948" w14:textId="54962290"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1,775,500</w:t>
            </w:r>
          </w:p>
        </w:tc>
      </w:tr>
      <w:tr w:rsidR="00DF1340" w:rsidRPr="007C0087" w14:paraId="2015C16C" w14:textId="77777777" w:rsidTr="00C7389B">
        <w:trPr>
          <w:trHeight w:val="428"/>
        </w:trPr>
        <w:tc>
          <w:tcPr>
            <w:tcW w:w="4111" w:type="dxa"/>
            <w:shd w:val="clear" w:color="auto" w:fill="auto"/>
            <w:tcMar>
              <w:top w:w="57" w:type="dxa"/>
              <w:left w:w="57" w:type="dxa"/>
              <w:bottom w:w="57" w:type="dxa"/>
              <w:right w:w="57" w:type="dxa"/>
            </w:tcMar>
            <w:vAlign w:val="center"/>
          </w:tcPr>
          <w:p w14:paraId="33A3716B"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Total other receipts</w:t>
            </w:r>
          </w:p>
        </w:tc>
        <w:tc>
          <w:tcPr>
            <w:tcW w:w="2693" w:type="dxa"/>
            <w:shd w:val="clear" w:color="auto" w:fill="auto"/>
            <w:vAlign w:val="center"/>
          </w:tcPr>
          <w:p w14:paraId="2042DC15" w14:textId="7AE6C05E"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80,789</w:t>
            </w:r>
          </w:p>
        </w:tc>
        <w:tc>
          <w:tcPr>
            <w:tcW w:w="2268" w:type="dxa"/>
            <w:shd w:val="clear" w:color="auto" w:fill="auto"/>
            <w:vAlign w:val="center"/>
          </w:tcPr>
          <w:p w14:paraId="4001CCAC" w14:textId="4274F176"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6,000</w:t>
            </w:r>
          </w:p>
        </w:tc>
      </w:tr>
      <w:tr w:rsidR="00DF1340" w:rsidRPr="007C0087" w14:paraId="4F74887F" w14:textId="77777777" w:rsidTr="00C7389B">
        <w:trPr>
          <w:trHeight w:val="428"/>
        </w:trPr>
        <w:tc>
          <w:tcPr>
            <w:tcW w:w="4111" w:type="dxa"/>
            <w:shd w:val="clear" w:color="auto" w:fill="auto"/>
            <w:tcMar>
              <w:top w:w="57" w:type="dxa"/>
              <w:left w:w="57" w:type="dxa"/>
              <w:bottom w:w="57" w:type="dxa"/>
              <w:right w:w="57" w:type="dxa"/>
            </w:tcMar>
            <w:vAlign w:val="center"/>
          </w:tcPr>
          <w:p w14:paraId="7DAA0507"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Staff costs</w:t>
            </w:r>
          </w:p>
        </w:tc>
        <w:tc>
          <w:tcPr>
            <w:tcW w:w="2693" w:type="dxa"/>
            <w:shd w:val="clear" w:color="auto" w:fill="auto"/>
            <w:vAlign w:val="center"/>
          </w:tcPr>
          <w:p w14:paraId="7E8FD19A" w14:textId="016EC5DF"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c>
          <w:tcPr>
            <w:tcW w:w="2268" w:type="dxa"/>
            <w:shd w:val="clear" w:color="auto" w:fill="auto"/>
            <w:vAlign w:val="center"/>
          </w:tcPr>
          <w:p w14:paraId="6E690F15" w14:textId="72560AD9"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232,412</w:t>
            </w:r>
          </w:p>
        </w:tc>
      </w:tr>
      <w:tr w:rsidR="00DF1340" w:rsidRPr="007C0087" w14:paraId="4377B15B" w14:textId="77777777" w:rsidTr="00C7389B">
        <w:trPr>
          <w:trHeight w:val="428"/>
        </w:trPr>
        <w:tc>
          <w:tcPr>
            <w:tcW w:w="4111" w:type="dxa"/>
            <w:shd w:val="clear" w:color="auto" w:fill="auto"/>
            <w:tcMar>
              <w:top w:w="57" w:type="dxa"/>
              <w:left w:w="57" w:type="dxa"/>
              <w:bottom w:w="57" w:type="dxa"/>
              <w:right w:w="57" w:type="dxa"/>
            </w:tcMar>
            <w:vAlign w:val="center"/>
          </w:tcPr>
          <w:p w14:paraId="44A55152"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Loan interest/capital repayments</w:t>
            </w:r>
          </w:p>
        </w:tc>
        <w:tc>
          <w:tcPr>
            <w:tcW w:w="2693" w:type="dxa"/>
            <w:shd w:val="clear" w:color="auto" w:fill="auto"/>
            <w:vAlign w:val="center"/>
          </w:tcPr>
          <w:p w14:paraId="152D80D2" w14:textId="11A9A8E6"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c>
          <w:tcPr>
            <w:tcW w:w="2268" w:type="dxa"/>
            <w:shd w:val="clear" w:color="auto" w:fill="auto"/>
            <w:vAlign w:val="center"/>
          </w:tcPr>
          <w:p w14:paraId="0DB3BD74" w14:textId="69EB0A69"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r>
      <w:tr w:rsidR="00DF1340" w:rsidRPr="007C0087" w14:paraId="40539761" w14:textId="77777777" w:rsidTr="00C7389B">
        <w:trPr>
          <w:trHeight w:val="428"/>
        </w:trPr>
        <w:tc>
          <w:tcPr>
            <w:tcW w:w="4111" w:type="dxa"/>
            <w:shd w:val="clear" w:color="auto" w:fill="auto"/>
            <w:tcMar>
              <w:top w:w="57" w:type="dxa"/>
              <w:left w:w="57" w:type="dxa"/>
              <w:bottom w:w="57" w:type="dxa"/>
              <w:right w:w="57" w:type="dxa"/>
            </w:tcMar>
            <w:vAlign w:val="center"/>
          </w:tcPr>
          <w:p w14:paraId="61DBBBF6"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Total other payments</w:t>
            </w:r>
          </w:p>
        </w:tc>
        <w:tc>
          <w:tcPr>
            <w:tcW w:w="2693" w:type="dxa"/>
            <w:shd w:val="clear" w:color="auto" w:fill="auto"/>
            <w:vAlign w:val="center"/>
          </w:tcPr>
          <w:p w14:paraId="45C6A648" w14:textId="2F65BF06"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5,603</w:t>
            </w:r>
          </w:p>
        </w:tc>
        <w:tc>
          <w:tcPr>
            <w:tcW w:w="2268" w:type="dxa"/>
            <w:shd w:val="clear" w:color="auto" w:fill="auto"/>
            <w:vAlign w:val="center"/>
          </w:tcPr>
          <w:p w14:paraId="70E5F0CB" w14:textId="0A76DFAD"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465,838</w:t>
            </w:r>
          </w:p>
        </w:tc>
      </w:tr>
      <w:tr w:rsidR="00DF1340" w:rsidRPr="007C0087" w14:paraId="7A7AB3FA" w14:textId="77777777" w:rsidTr="00C7389B">
        <w:trPr>
          <w:trHeight w:val="428"/>
        </w:trPr>
        <w:tc>
          <w:tcPr>
            <w:tcW w:w="4111" w:type="dxa"/>
            <w:shd w:val="clear" w:color="auto" w:fill="auto"/>
            <w:tcMar>
              <w:top w:w="57" w:type="dxa"/>
              <w:left w:w="57" w:type="dxa"/>
              <w:bottom w:w="57" w:type="dxa"/>
              <w:right w:w="57" w:type="dxa"/>
            </w:tcMar>
            <w:vAlign w:val="center"/>
          </w:tcPr>
          <w:p w14:paraId="61E332FC"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Balances carried forward</w:t>
            </w:r>
          </w:p>
        </w:tc>
        <w:tc>
          <w:tcPr>
            <w:tcW w:w="2693" w:type="dxa"/>
            <w:shd w:val="clear" w:color="auto" w:fill="auto"/>
            <w:vAlign w:val="center"/>
          </w:tcPr>
          <w:p w14:paraId="6427EA13" w14:textId="1D3B4558"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75,186</w:t>
            </w:r>
          </w:p>
        </w:tc>
        <w:tc>
          <w:tcPr>
            <w:tcW w:w="2268" w:type="dxa"/>
            <w:shd w:val="clear" w:color="auto" w:fill="auto"/>
            <w:vAlign w:val="center"/>
          </w:tcPr>
          <w:p w14:paraId="6A4BD6C2" w14:textId="77E2A75E"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1,158,436</w:t>
            </w:r>
          </w:p>
        </w:tc>
      </w:tr>
      <w:tr w:rsidR="00DF1340" w:rsidRPr="007C0087" w14:paraId="48F2E251" w14:textId="77777777" w:rsidTr="00C7389B">
        <w:trPr>
          <w:trHeight w:val="428"/>
        </w:trPr>
        <w:tc>
          <w:tcPr>
            <w:tcW w:w="4111" w:type="dxa"/>
            <w:shd w:val="clear" w:color="auto" w:fill="auto"/>
            <w:tcMar>
              <w:top w:w="57" w:type="dxa"/>
              <w:left w:w="57" w:type="dxa"/>
              <w:bottom w:w="57" w:type="dxa"/>
              <w:right w:w="57" w:type="dxa"/>
            </w:tcMar>
            <w:vAlign w:val="center"/>
          </w:tcPr>
          <w:p w14:paraId="5057866A"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Total cash and investments</w:t>
            </w:r>
          </w:p>
        </w:tc>
        <w:tc>
          <w:tcPr>
            <w:tcW w:w="2693" w:type="dxa"/>
            <w:shd w:val="clear" w:color="auto" w:fill="auto"/>
            <w:vAlign w:val="center"/>
          </w:tcPr>
          <w:p w14:paraId="48CC6F71" w14:textId="362995B0"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80,789</w:t>
            </w:r>
          </w:p>
        </w:tc>
        <w:tc>
          <w:tcPr>
            <w:tcW w:w="2268" w:type="dxa"/>
            <w:shd w:val="clear" w:color="auto" w:fill="auto"/>
            <w:vAlign w:val="center"/>
          </w:tcPr>
          <w:p w14:paraId="65DC2135" w14:textId="4E0E0C5D"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1,192,853</w:t>
            </w:r>
          </w:p>
        </w:tc>
      </w:tr>
      <w:tr w:rsidR="00DF1340" w:rsidRPr="007C0087" w14:paraId="3BF1C571" w14:textId="77777777" w:rsidTr="00C7389B">
        <w:trPr>
          <w:trHeight w:val="428"/>
        </w:trPr>
        <w:tc>
          <w:tcPr>
            <w:tcW w:w="4111" w:type="dxa"/>
            <w:shd w:val="clear" w:color="auto" w:fill="auto"/>
            <w:tcMar>
              <w:top w:w="57" w:type="dxa"/>
              <w:left w:w="57" w:type="dxa"/>
              <w:bottom w:w="57" w:type="dxa"/>
              <w:right w:w="57" w:type="dxa"/>
            </w:tcMar>
            <w:vAlign w:val="center"/>
          </w:tcPr>
          <w:p w14:paraId="28E12521"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Total fixed assets and long-term assets</w:t>
            </w:r>
          </w:p>
        </w:tc>
        <w:tc>
          <w:tcPr>
            <w:tcW w:w="2693" w:type="dxa"/>
            <w:shd w:val="clear" w:color="auto" w:fill="auto"/>
            <w:vAlign w:val="center"/>
          </w:tcPr>
          <w:p w14:paraId="605A2573" w14:textId="746045CB"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c>
          <w:tcPr>
            <w:tcW w:w="2268" w:type="dxa"/>
            <w:shd w:val="clear" w:color="auto" w:fill="auto"/>
            <w:vAlign w:val="center"/>
          </w:tcPr>
          <w:p w14:paraId="7D5B8B09" w14:textId="27232680"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9,957</w:t>
            </w:r>
          </w:p>
        </w:tc>
      </w:tr>
      <w:tr w:rsidR="00DF1340" w:rsidRPr="007C0087" w14:paraId="723558F5" w14:textId="77777777" w:rsidTr="00C7389B">
        <w:trPr>
          <w:trHeight w:val="428"/>
        </w:trPr>
        <w:tc>
          <w:tcPr>
            <w:tcW w:w="4111" w:type="dxa"/>
            <w:shd w:val="clear" w:color="auto" w:fill="auto"/>
            <w:tcMar>
              <w:top w:w="57" w:type="dxa"/>
              <w:left w:w="57" w:type="dxa"/>
              <w:bottom w:w="57" w:type="dxa"/>
              <w:right w:w="57" w:type="dxa"/>
            </w:tcMar>
            <w:vAlign w:val="center"/>
          </w:tcPr>
          <w:p w14:paraId="45304C8D" w14:textId="77777777" w:rsidR="00DF1340" w:rsidRPr="007C0087" w:rsidRDefault="00DF1340" w:rsidP="00C7389B">
            <w:pPr>
              <w:numPr>
                <w:ilvl w:val="0"/>
                <w:numId w:val="1"/>
              </w:numPr>
              <w:spacing w:after="0" w:line="240" w:lineRule="auto"/>
              <w:ind w:left="284" w:hanging="284"/>
              <w:rPr>
                <w:rFonts w:asciiTheme="minorHAnsi" w:hAnsiTheme="minorHAnsi" w:cstheme="minorHAnsi"/>
              </w:rPr>
            </w:pPr>
            <w:r w:rsidRPr="007C0087">
              <w:rPr>
                <w:rFonts w:asciiTheme="minorHAnsi" w:hAnsiTheme="minorHAnsi" w:cstheme="minorHAnsi"/>
              </w:rPr>
              <w:t>Total borrowings</w:t>
            </w:r>
          </w:p>
        </w:tc>
        <w:tc>
          <w:tcPr>
            <w:tcW w:w="2693" w:type="dxa"/>
            <w:shd w:val="clear" w:color="auto" w:fill="auto"/>
            <w:vAlign w:val="center"/>
          </w:tcPr>
          <w:p w14:paraId="68F5A885" w14:textId="2C627A2D"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c>
          <w:tcPr>
            <w:tcW w:w="2268" w:type="dxa"/>
            <w:shd w:val="clear" w:color="auto" w:fill="auto"/>
            <w:vAlign w:val="center"/>
          </w:tcPr>
          <w:p w14:paraId="334ED45A" w14:textId="0A88BDB1" w:rsidR="00DF1340" w:rsidRPr="007C0087" w:rsidRDefault="00DF1340" w:rsidP="00C7389B">
            <w:pPr>
              <w:spacing w:after="0" w:line="240" w:lineRule="auto"/>
              <w:jc w:val="center"/>
              <w:rPr>
                <w:rFonts w:asciiTheme="minorHAnsi" w:hAnsiTheme="minorHAnsi" w:cstheme="minorHAnsi"/>
              </w:rPr>
            </w:pPr>
            <w:r>
              <w:rPr>
                <w:rFonts w:asciiTheme="minorHAnsi" w:hAnsiTheme="minorHAnsi" w:cstheme="minorHAnsi"/>
              </w:rPr>
              <w:t>0</w:t>
            </w:r>
          </w:p>
        </w:tc>
      </w:tr>
    </w:tbl>
    <w:p w14:paraId="03A2AE29" w14:textId="77777777" w:rsidR="00DF1340" w:rsidRPr="007C0087" w:rsidRDefault="00DF1340" w:rsidP="00DF1340">
      <w:pPr>
        <w:pStyle w:val="NoSpacing"/>
        <w:rPr>
          <w:rFonts w:asciiTheme="minorHAnsi" w:hAnsiTheme="minorHAnsi" w:cstheme="minorHAnsi"/>
        </w:rPr>
      </w:pPr>
    </w:p>
    <w:p w14:paraId="130017D0" w14:textId="77777777" w:rsidR="00DF1340" w:rsidRPr="007C0087" w:rsidRDefault="00DF1340" w:rsidP="00DF1340">
      <w:pPr>
        <w:pStyle w:val="NoSpacing"/>
        <w:rPr>
          <w:rFonts w:asciiTheme="minorHAnsi" w:hAnsiTheme="minorHAnsi" w:cstheme="minorHAnsi"/>
        </w:rPr>
      </w:pPr>
    </w:p>
    <w:p w14:paraId="059E53E4" w14:textId="77777777" w:rsidR="00DF1340" w:rsidRPr="007C0087" w:rsidRDefault="00DF1340" w:rsidP="00DF1340">
      <w:pPr>
        <w:pStyle w:val="NoSpacing"/>
        <w:rPr>
          <w:rFonts w:asciiTheme="minorHAnsi" w:hAnsiTheme="minorHAnsi" w:cstheme="minorHAnsi"/>
        </w:rPr>
      </w:pPr>
    </w:p>
    <w:p w14:paraId="260516B0" w14:textId="77777777" w:rsidR="00DF1340" w:rsidRPr="007C0087" w:rsidRDefault="00DF1340" w:rsidP="00DF1340">
      <w:pPr>
        <w:pStyle w:val="NoSpacing"/>
        <w:rPr>
          <w:rFonts w:asciiTheme="minorHAnsi" w:hAnsiTheme="minorHAnsi" w:cstheme="minorHAnsi"/>
        </w:rPr>
      </w:pPr>
      <w:r w:rsidRPr="007C0087">
        <w:rPr>
          <w:rFonts w:asciiTheme="minorHAnsi" w:hAnsiTheme="minorHAnsi" w:cstheme="minorHAnsi"/>
        </w:rPr>
        <w:t xml:space="preserve">The proper practices referred to in Accounts and Audit Regulations are set out in </w:t>
      </w:r>
      <w:r w:rsidRPr="007C0087">
        <w:rPr>
          <w:rFonts w:asciiTheme="minorHAnsi" w:hAnsiTheme="minorHAnsi" w:cstheme="minorHAnsi"/>
          <w:i/>
        </w:rPr>
        <w:t>Governance and Accountability for Smaller Authorities in England (2020)</w:t>
      </w:r>
      <w:r w:rsidRPr="007C0087">
        <w:rPr>
          <w:rFonts w:asciiTheme="minorHAnsi" w:hAnsiTheme="minorHAnsi" w:cstheme="minorHAnsi"/>
        </w:rPr>
        <w:t>.  It is a guide to the accounting practices to be followed by local councils and it sets out the appropriate standard of financial reporting to be followed.  A copy of the guide is available for free download from:</w:t>
      </w:r>
    </w:p>
    <w:p w14:paraId="2C443501" w14:textId="77777777" w:rsidR="00DF1340" w:rsidRPr="007C0087" w:rsidRDefault="00DF1340" w:rsidP="00DF1340">
      <w:pPr>
        <w:pStyle w:val="NoSpacing"/>
        <w:rPr>
          <w:rFonts w:asciiTheme="minorHAnsi" w:hAnsiTheme="minorHAnsi" w:cstheme="minorHAnsi"/>
        </w:rPr>
      </w:pPr>
    </w:p>
    <w:p w14:paraId="4FB243C0" w14:textId="77777777" w:rsidR="00DF1340" w:rsidRPr="007C0087" w:rsidRDefault="00E24438" w:rsidP="00DF1340">
      <w:pPr>
        <w:pStyle w:val="NoSpacing"/>
        <w:rPr>
          <w:rFonts w:asciiTheme="minorHAnsi" w:hAnsiTheme="minorHAnsi" w:cstheme="minorHAnsi"/>
        </w:rPr>
      </w:pPr>
      <w:hyperlink r:id="rId12" w:history="1">
        <w:r w:rsidR="00DF1340" w:rsidRPr="007C0087">
          <w:rPr>
            <w:rStyle w:val="Hyperlink"/>
            <w:rFonts w:asciiTheme="minorHAnsi" w:hAnsiTheme="minorHAnsi" w:cstheme="minorHAnsi"/>
          </w:rPr>
          <w:t>https://www.northantscalc.com/uploads/practitioners-guide-2020-2.pdf</w:t>
        </w:r>
      </w:hyperlink>
    </w:p>
    <w:p w14:paraId="04DDF52B" w14:textId="77777777" w:rsidR="00DF1340" w:rsidRPr="007C0087" w:rsidRDefault="00DF1340" w:rsidP="00DF1340">
      <w:pPr>
        <w:pStyle w:val="NoSpacing"/>
        <w:rPr>
          <w:rFonts w:asciiTheme="minorHAnsi" w:hAnsiTheme="minorHAnsi" w:cstheme="minorHAnsi"/>
        </w:rPr>
      </w:pPr>
    </w:p>
    <w:p w14:paraId="521332FC" w14:textId="77777777" w:rsidR="00DF1340" w:rsidRPr="007C0087" w:rsidRDefault="00DF1340" w:rsidP="00DF1340">
      <w:pPr>
        <w:pStyle w:val="NoSpacing"/>
        <w:rPr>
          <w:rFonts w:asciiTheme="minorHAnsi" w:hAnsiTheme="minorHAnsi" w:cstheme="minorHAnsi"/>
        </w:rPr>
      </w:pPr>
    </w:p>
    <w:p w14:paraId="11BACF36" w14:textId="77777777" w:rsidR="00DF1340" w:rsidRDefault="00DF1340" w:rsidP="006F6228">
      <w:pPr>
        <w:pStyle w:val="NoSpacing"/>
        <w:rPr>
          <w:rFonts w:asciiTheme="minorHAnsi" w:hAnsiTheme="minorHAnsi" w:cstheme="minorHAnsi"/>
        </w:rPr>
      </w:pPr>
    </w:p>
    <w:p w14:paraId="1468638A" w14:textId="77777777" w:rsidR="00DF1340" w:rsidRPr="006F6228" w:rsidRDefault="00DF1340" w:rsidP="006F6228">
      <w:pPr>
        <w:pStyle w:val="NoSpacing"/>
        <w:rPr>
          <w:rFonts w:asciiTheme="minorHAnsi" w:hAnsiTheme="minorHAnsi" w:cstheme="minorHAnsi"/>
        </w:rPr>
      </w:pPr>
    </w:p>
    <w:sectPr w:rsidR="00DF1340" w:rsidRPr="006F6228" w:rsidSect="00024417">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83136" w14:textId="77777777" w:rsidR="00A8701D" w:rsidRDefault="00A8701D" w:rsidP="00310392">
      <w:pPr>
        <w:spacing w:after="0" w:line="240" w:lineRule="auto"/>
      </w:pPr>
      <w:r>
        <w:separator/>
      </w:r>
    </w:p>
  </w:endnote>
  <w:endnote w:type="continuationSeparator" w:id="0">
    <w:p w14:paraId="27F2D66F" w14:textId="77777777" w:rsidR="00A8701D" w:rsidRDefault="00A8701D"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3E26" w14:textId="77777777" w:rsidR="008C698A" w:rsidRDefault="008C698A">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sidR="007D4ABE">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76BDC72" w14:textId="77777777" w:rsidR="008C698A" w:rsidRPr="00024417" w:rsidRDefault="008C698A"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390EA" w14:textId="77777777" w:rsidR="00A8701D" w:rsidRDefault="00A8701D" w:rsidP="00310392">
      <w:pPr>
        <w:spacing w:after="0" w:line="240" w:lineRule="auto"/>
      </w:pPr>
      <w:r>
        <w:separator/>
      </w:r>
    </w:p>
  </w:footnote>
  <w:footnote w:type="continuationSeparator" w:id="0">
    <w:p w14:paraId="43B13AFB" w14:textId="77777777" w:rsidR="00A8701D" w:rsidRDefault="00A8701D" w:rsidP="0031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A4231"/>
    <w:multiLevelType w:val="hybridMultilevel"/>
    <w:tmpl w:val="8B50E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20C51"/>
    <w:rsid w:val="00024417"/>
    <w:rsid w:val="00027654"/>
    <w:rsid w:val="0005644E"/>
    <w:rsid w:val="0007699A"/>
    <w:rsid w:val="00083A30"/>
    <w:rsid w:val="00084F0C"/>
    <w:rsid w:val="000A4963"/>
    <w:rsid w:val="000B55E1"/>
    <w:rsid w:val="001032D5"/>
    <w:rsid w:val="00205EAF"/>
    <w:rsid w:val="00211566"/>
    <w:rsid w:val="00301B27"/>
    <w:rsid w:val="00310392"/>
    <w:rsid w:val="00353BB4"/>
    <w:rsid w:val="00360676"/>
    <w:rsid w:val="003921D8"/>
    <w:rsid w:val="003B694C"/>
    <w:rsid w:val="00415991"/>
    <w:rsid w:val="00437B45"/>
    <w:rsid w:val="00446BF4"/>
    <w:rsid w:val="004A30A4"/>
    <w:rsid w:val="004C70B9"/>
    <w:rsid w:val="004D03EC"/>
    <w:rsid w:val="004D67D5"/>
    <w:rsid w:val="00500A8C"/>
    <w:rsid w:val="00515DBF"/>
    <w:rsid w:val="005213CE"/>
    <w:rsid w:val="00543845"/>
    <w:rsid w:val="005537E2"/>
    <w:rsid w:val="00593D83"/>
    <w:rsid w:val="005A008D"/>
    <w:rsid w:val="005E2C4A"/>
    <w:rsid w:val="00621482"/>
    <w:rsid w:val="00637E14"/>
    <w:rsid w:val="00641E7C"/>
    <w:rsid w:val="00654DE9"/>
    <w:rsid w:val="006A5FBF"/>
    <w:rsid w:val="006D4833"/>
    <w:rsid w:val="006F6228"/>
    <w:rsid w:val="00715245"/>
    <w:rsid w:val="00725D16"/>
    <w:rsid w:val="0073770C"/>
    <w:rsid w:val="00745C79"/>
    <w:rsid w:val="0076607E"/>
    <w:rsid w:val="00766395"/>
    <w:rsid w:val="007734A3"/>
    <w:rsid w:val="00782D02"/>
    <w:rsid w:val="00794BB1"/>
    <w:rsid w:val="007C6364"/>
    <w:rsid w:val="007D4ABE"/>
    <w:rsid w:val="00801CEB"/>
    <w:rsid w:val="008956E6"/>
    <w:rsid w:val="008A19E9"/>
    <w:rsid w:val="008A42E0"/>
    <w:rsid w:val="008A43FB"/>
    <w:rsid w:val="008C698A"/>
    <w:rsid w:val="008E2DDE"/>
    <w:rsid w:val="00900E10"/>
    <w:rsid w:val="00922180"/>
    <w:rsid w:val="00925CB9"/>
    <w:rsid w:val="009F57FC"/>
    <w:rsid w:val="00A000E3"/>
    <w:rsid w:val="00A62CD9"/>
    <w:rsid w:val="00A716FB"/>
    <w:rsid w:val="00A8701D"/>
    <w:rsid w:val="00AD72FC"/>
    <w:rsid w:val="00B22D4E"/>
    <w:rsid w:val="00B2358D"/>
    <w:rsid w:val="00B66029"/>
    <w:rsid w:val="00B73C36"/>
    <w:rsid w:val="00B858D7"/>
    <w:rsid w:val="00BB6420"/>
    <w:rsid w:val="00BC7835"/>
    <w:rsid w:val="00BE1455"/>
    <w:rsid w:val="00BF065F"/>
    <w:rsid w:val="00C056B7"/>
    <w:rsid w:val="00C07C17"/>
    <w:rsid w:val="00C116B5"/>
    <w:rsid w:val="00C13210"/>
    <w:rsid w:val="00C30734"/>
    <w:rsid w:val="00C308D2"/>
    <w:rsid w:val="00C7324A"/>
    <w:rsid w:val="00CA5F25"/>
    <w:rsid w:val="00CD2C44"/>
    <w:rsid w:val="00D06953"/>
    <w:rsid w:val="00D105B0"/>
    <w:rsid w:val="00D10842"/>
    <w:rsid w:val="00D61320"/>
    <w:rsid w:val="00DB516E"/>
    <w:rsid w:val="00DF1340"/>
    <w:rsid w:val="00E022ED"/>
    <w:rsid w:val="00E161C6"/>
    <w:rsid w:val="00E24438"/>
    <w:rsid w:val="00E77234"/>
    <w:rsid w:val="00E90A1D"/>
    <w:rsid w:val="00E97167"/>
    <w:rsid w:val="00ED56DA"/>
    <w:rsid w:val="00ED7E47"/>
    <w:rsid w:val="00F1405D"/>
    <w:rsid w:val="00F30338"/>
    <w:rsid w:val="00F47C2C"/>
    <w:rsid w:val="00FB5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46D"/>
  <w15:chartTrackingRefBased/>
  <w15:docId w15:val="{B9591B18-F05E-42B6-A12A-216F616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character" w:styleId="UnresolvedMention">
    <w:name w:val="Unresolved Mention"/>
    <w:uiPriority w:val="99"/>
    <w:semiHidden/>
    <w:unhideWhenUsed/>
    <w:rsid w:val="00BC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antscalc.com/uploads/practitioners-guide-2020-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harteress@gmai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3" ma:contentTypeDescription="Create a new document." ma:contentTypeScope="" ma:versionID="9348d2e15a8371ef754b60a7b28288e5">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5eca23ca2ed6de0090fee47c3c27b63"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C2E66-CC2C-49B3-B806-D7589219CD88}">
  <ds:schemaRefs>
    <ds:schemaRef ds:uri="http://purl.org/dc/elements/1.1/"/>
    <ds:schemaRef ds:uri="http://schemas.microsoft.com/office/2006/metadata/properties"/>
    <ds:schemaRef ds:uri="179e3f07-31ab-45be-a345-8534b1ac0c6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a8d02b-2d38-4fe2-ab13-eb735b152d23"/>
    <ds:schemaRef ds:uri="http://www.w3.org/XML/1998/namespace"/>
    <ds:schemaRef ds:uri="http://purl.org/dc/dcmitype/"/>
  </ds:schemaRefs>
</ds:datastoreItem>
</file>

<file path=customXml/itemProps2.xml><?xml version="1.0" encoding="utf-8"?>
<ds:datastoreItem xmlns:ds="http://schemas.openxmlformats.org/officeDocument/2006/customXml" ds:itemID="{9DE5DD4C-14E0-4D5D-A8CE-A01C8A830F12}">
  <ds:schemaRefs>
    <ds:schemaRef ds:uri="http://schemas.microsoft.com/sharepoint/v3/contenttype/forms"/>
  </ds:schemaRefs>
</ds:datastoreItem>
</file>

<file path=customXml/itemProps3.xml><?xml version="1.0" encoding="utf-8"?>
<ds:datastoreItem xmlns:ds="http://schemas.openxmlformats.org/officeDocument/2006/customXml" ds:itemID="{9C665A40-27B7-4649-8CA6-0513459E5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5479</CharactersWithSpaces>
  <SharedDoc>false</SharedDoc>
  <HLinks>
    <vt:vector size="6" baseType="variant">
      <vt:variant>
        <vt:i4>7340132</vt:i4>
      </vt:variant>
      <vt:variant>
        <vt:i4>0</vt:i4>
      </vt:variant>
      <vt:variant>
        <vt:i4>0</vt:i4>
      </vt:variant>
      <vt:variant>
        <vt:i4>5</vt:i4>
      </vt:variant>
      <vt:variant>
        <vt:lpwstr>https://www.northantscalc.com/uploads/practitioners-guide-2019.pdf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cp:lastModifiedBy>Stuart Carter</cp:lastModifiedBy>
  <cp:revision>2</cp:revision>
  <cp:lastPrinted>2011-12-15T14:57:00Z</cp:lastPrinted>
  <dcterms:created xsi:type="dcterms:W3CDTF">2023-06-05T10:51:00Z</dcterms:created>
  <dcterms:modified xsi:type="dcterms:W3CDTF">2023-06-05T10:51:00Z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